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961A42">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004560A" w14:textId="2C77714B" w:rsidR="00813EA1" w:rsidRDefault="00B0357D" w:rsidP="004E0CA0">
      <w:r>
        <w:t>T</w:t>
      </w:r>
      <w:r w:rsidR="00DE107E" w:rsidRPr="00DE107E">
        <w:t xml:space="preserve">he global markets </w:t>
      </w:r>
      <w:r w:rsidR="00722592" w:rsidRPr="00D11F10">
        <w:rPr>
          <w:b/>
          <w:bCs/>
        </w:rPr>
        <w:t xml:space="preserve">finished </w:t>
      </w:r>
      <w:r w:rsidR="003C40F3" w:rsidRPr="00D11F10">
        <w:rPr>
          <w:b/>
          <w:bCs/>
        </w:rPr>
        <w:t>mixed</w:t>
      </w:r>
      <w:r w:rsidR="002E391C" w:rsidRPr="00D11F10">
        <w:rPr>
          <w:b/>
          <w:bCs/>
        </w:rPr>
        <w:t xml:space="preserve"> over</w:t>
      </w:r>
      <w:r w:rsidR="00813EA1" w:rsidRPr="00D11F10">
        <w:rPr>
          <w:b/>
          <w:bCs/>
        </w:rPr>
        <w:t xml:space="preserve"> </w:t>
      </w:r>
      <w:r w:rsidR="003C40F3" w:rsidRPr="00D11F10">
        <w:rPr>
          <w:b/>
          <w:bCs/>
        </w:rPr>
        <w:t>August</w:t>
      </w:r>
      <w:r w:rsidR="003D5229" w:rsidRPr="00D11F10">
        <w:rPr>
          <w:b/>
          <w:bCs/>
        </w:rPr>
        <w:t xml:space="preserve"> 2024</w:t>
      </w:r>
      <w:r w:rsidR="003D5229">
        <w:t xml:space="preserve"> </w:t>
      </w:r>
      <w:r w:rsidR="00D528C0">
        <w:t>(</w:t>
      </w:r>
      <w:r w:rsidR="00DE107E" w:rsidRPr="00DE107E">
        <w:t>in local currency terms</w:t>
      </w:r>
      <w:r w:rsidR="00D528C0">
        <w:t>)</w:t>
      </w:r>
      <w:r w:rsidR="00DE107E" w:rsidRPr="00DE107E">
        <w:t xml:space="preserve"> </w:t>
      </w:r>
      <w:r w:rsidR="00813EA1">
        <w:t xml:space="preserve">as </w:t>
      </w:r>
      <w:r w:rsidR="009E0E2D">
        <w:t>volatility returned in early August in response to the potential for a recession following the recent unemployment numbers in the US (</w:t>
      </w:r>
      <w:r w:rsidR="009E0E2D" w:rsidRPr="00FF2536">
        <w:rPr>
          <w:b/>
          <w:bCs/>
        </w:rPr>
        <w:t xml:space="preserve">unemployment rose to 4.3% in July but since has eased back to 4.2% in August </w:t>
      </w:r>
      <w:r w:rsidR="009E0E2D">
        <w:t>2024) and the continued unwinding of the Japanese Yen carry trade</w:t>
      </w:r>
      <w:r w:rsidR="00FF2536">
        <w:t xml:space="preserve"> (see comment below)</w:t>
      </w:r>
      <w:r w:rsidR="009E0E2D">
        <w:t>.</w:t>
      </w:r>
      <w:r w:rsidR="00D9748C">
        <w:t xml:space="preserve"> </w:t>
      </w:r>
      <w:r w:rsidR="009E0E2D">
        <w:t>The US Federal Reserve Bank (The Fed) gets nervous when unemployment comes under pressure as it has a dual mandate to manage both the target cash rates and rate).</w:t>
      </w:r>
    </w:p>
    <w:p w14:paraId="62CF3E5A" w14:textId="7D4227D4" w:rsidR="005647E0" w:rsidRDefault="002C2064" w:rsidP="005647E0">
      <w:r>
        <w:t xml:space="preserve">Early August 2024 saw the </w:t>
      </w:r>
      <w:r w:rsidRPr="003D78AB">
        <w:rPr>
          <w:b/>
          <w:bCs/>
        </w:rPr>
        <w:t xml:space="preserve">Japanese Yen </w:t>
      </w:r>
      <w:r w:rsidR="005647E0">
        <w:rPr>
          <w:b/>
          <w:bCs/>
        </w:rPr>
        <w:t>(</w:t>
      </w:r>
      <w:r w:rsidR="005647E0">
        <w:rPr>
          <w:rFonts w:cstheme="minorHAnsi"/>
          <w:b/>
          <w:bCs/>
        </w:rPr>
        <w:t>¥</w:t>
      </w:r>
      <w:r w:rsidR="005647E0">
        <w:rPr>
          <w:b/>
          <w:bCs/>
        </w:rPr>
        <w:t xml:space="preserve">) </w:t>
      </w:r>
      <w:r w:rsidRPr="003D78AB">
        <w:rPr>
          <w:b/>
          <w:bCs/>
        </w:rPr>
        <w:t>carry trade</w:t>
      </w:r>
      <w:r>
        <w:t xml:space="preserve"> </w:t>
      </w:r>
      <w:r w:rsidR="0074456C">
        <w:t xml:space="preserve">the unemployment </w:t>
      </w:r>
      <w:r>
        <w:t xml:space="preserve">arbitrage being unwound create havoc with the Tokyo Nikkei </w:t>
      </w:r>
      <w:r w:rsidR="005647E0">
        <w:t xml:space="preserve">share market </w:t>
      </w:r>
      <w:r>
        <w:t>which</w:t>
      </w:r>
      <w:r w:rsidR="003D78AB">
        <w:t xml:space="preserve"> f</w:t>
      </w:r>
      <w:r>
        <w:t>e</w:t>
      </w:r>
      <w:r w:rsidR="003D78AB">
        <w:t xml:space="preserve">ll 12% </w:t>
      </w:r>
      <w:r>
        <w:t xml:space="preserve">on the </w:t>
      </w:r>
      <w:r w:rsidR="00AD0C9E">
        <w:t>5</w:t>
      </w:r>
      <w:r w:rsidR="00AD0C9E" w:rsidRPr="002C2064">
        <w:rPr>
          <w:vertAlign w:val="superscript"/>
        </w:rPr>
        <w:t>th of</w:t>
      </w:r>
      <w:r>
        <w:t xml:space="preserve"> August and then bounce back 10% the next day.</w:t>
      </w:r>
      <w:r w:rsidR="001357C3">
        <w:t xml:space="preserve"> The </w:t>
      </w:r>
      <w:r w:rsidR="002D21A1">
        <w:t>USD/</w:t>
      </w:r>
      <w:r w:rsidR="005647E0">
        <w:t>J</w:t>
      </w:r>
      <w:r w:rsidR="002D21A1">
        <w:t>PY</w:t>
      </w:r>
      <w:r w:rsidR="001357C3">
        <w:t xml:space="preserve"> also </w:t>
      </w:r>
      <w:r w:rsidR="00AD0C9E">
        <w:t xml:space="preserve">strengthened from around </w:t>
      </w:r>
      <w:r w:rsidR="00AD0C9E">
        <w:rPr>
          <w:rFonts w:cstheme="minorHAnsi"/>
        </w:rPr>
        <w:t>¥</w:t>
      </w:r>
      <w:r w:rsidR="00AD0C9E">
        <w:t xml:space="preserve">161.50 in July 2024 to </w:t>
      </w:r>
      <w:r w:rsidR="00AD0C9E">
        <w:rPr>
          <w:rFonts w:cstheme="minorHAnsi"/>
        </w:rPr>
        <w:t>¥</w:t>
      </w:r>
      <w:r w:rsidR="00AD0C9E">
        <w:t xml:space="preserve">142.50 in August 2024 </w:t>
      </w:r>
      <w:r w:rsidR="002D21A1">
        <w:t xml:space="preserve">(-13.3%) </w:t>
      </w:r>
      <w:r w:rsidR="00AD0C9E">
        <w:t xml:space="preserve">which triggered </w:t>
      </w:r>
      <w:r w:rsidR="005647E0">
        <w:t xml:space="preserve">some of the </w:t>
      </w:r>
      <w:r w:rsidR="00AD0C9E">
        <w:t xml:space="preserve">unwinding. The </w:t>
      </w:r>
      <w:r w:rsidR="00AD0C9E">
        <w:rPr>
          <w:rFonts w:cstheme="minorHAnsi"/>
        </w:rPr>
        <w:t>¥</w:t>
      </w:r>
      <w:r w:rsidR="00AD0C9E">
        <w:t xml:space="preserve"> carry trade involves borrowing in one </w:t>
      </w:r>
      <w:r w:rsidR="002D21A1">
        <w:t>low-cost</w:t>
      </w:r>
      <w:r w:rsidR="00AD0C9E">
        <w:t xml:space="preserve"> currency and lending in another currency with a higher yield</w:t>
      </w:r>
      <w:r w:rsidR="00BB66F2">
        <w:t xml:space="preserve"> or return prospects (shares).</w:t>
      </w:r>
      <w:r w:rsidR="002D21A1">
        <w:t xml:space="preserve"> </w:t>
      </w:r>
    </w:p>
    <w:p w14:paraId="7BBDF763" w14:textId="0DF181CD" w:rsidR="003D78AB" w:rsidRPr="007D1D5E" w:rsidRDefault="002D21A1" w:rsidP="00BB66F2">
      <w:pPr>
        <w:ind w:left="720"/>
        <w:rPr>
          <w:i/>
          <w:iCs/>
        </w:rPr>
      </w:pPr>
      <w:r w:rsidRPr="00BB66F2">
        <w:rPr>
          <w:i/>
          <w:iCs/>
          <w:u w:val="single"/>
        </w:rPr>
        <w:t>For example:</w:t>
      </w:r>
      <w:r w:rsidRPr="007D1D5E">
        <w:rPr>
          <w:i/>
          <w:iCs/>
        </w:rPr>
        <w:t xml:space="preserve"> </w:t>
      </w:r>
      <w:r w:rsidR="00BB66F2">
        <w:rPr>
          <w:i/>
          <w:iCs/>
        </w:rPr>
        <w:t xml:space="preserve">To initiate the trade, borrow </w:t>
      </w:r>
      <w:r w:rsidR="00BB66F2">
        <w:rPr>
          <w:rFonts w:cstheme="minorHAnsi"/>
          <w:i/>
          <w:iCs/>
        </w:rPr>
        <w:t>¥</w:t>
      </w:r>
      <w:r w:rsidR="00BB66F2">
        <w:rPr>
          <w:i/>
          <w:iCs/>
        </w:rPr>
        <w:t xml:space="preserve"> at close to 0% interest rates and sell the borrowed </w:t>
      </w:r>
      <w:r w:rsidR="00BB66F2">
        <w:rPr>
          <w:rFonts w:cstheme="minorHAnsi"/>
          <w:i/>
          <w:iCs/>
        </w:rPr>
        <w:t>¥</w:t>
      </w:r>
      <w:r w:rsidR="00BB66F2">
        <w:rPr>
          <w:i/>
          <w:iCs/>
        </w:rPr>
        <w:t xml:space="preserve"> in exchange for target currency  i.e.: US$ thus creating the currency risk</w:t>
      </w:r>
      <w:r w:rsidR="000F7BDA">
        <w:rPr>
          <w:i/>
          <w:iCs/>
        </w:rPr>
        <w:t xml:space="preserve"> (short </w:t>
      </w:r>
      <w:r w:rsidR="000F7BDA">
        <w:rPr>
          <w:rFonts w:cstheme="minorHAnsi"/>
          <w:i/>
          <w:iCs/>
        </w:rPr>
        <w:t>¥</w:t>
      </w:r>
      <w:r w:rsidR="000F7BDA">
        <w:rPr>
          <w:i/>
          <w:iCs/>
        </w:rPr>
        <w:t>, long US$)</w:t>
      </w:r>
      <w:r w:rsidR="00BB66F2">
        <w:rPr>
          <w:i/>
          <w:iCs/>
        </w:rPr>
        <w:t xml:space="preserve">. Invest the US$ in </w:t>
      </w:r>
      <w:r w:rsidRPr="007D1D5E">
        <w:rPr>
          <w:i/>
          <w:iCs/>
        </w:rPr>
        <w:t>US Government Bonds at 4.0%</w:t>
      </w:r>
      <w:r w:rsidR="000F7BDA">
        <w:rPr>
          <w:i/>
          <w:iCs/>
        </w:rPr>
        <w:t xml:space="preserve"> or shares (tech)</w:t>
      </w:r>
      <w:r w:rsidRPr="007D1D5E">
        <w:rPr>
          <w:i/>
          <w:iCs/>
        </w:rPr>
        <w:t xml:space="preserve">. It all comes unstuck if the </w:t>
      </w:r>
      <w:r w:rsidRPr="007D1D5E">
        <w:rPr>
          <w:rFonts w:cstheme="minorHAnsi"/>
          <w:i/>
          <w:iCs/>
        </w:rPr>
        <w:t>¥</w:t>
      </w:r>
      <w:r w:rsidRPr="007D1D5E">
        <w:rPr>
          <w:i/>
          <w:iCs/>
        </w:rPr>
        <w:t xml:space="preserve"> strengthens and erodes the 4% arbitrage. The </w:t>
      </w:r>
      <w:r w:rsidRPr="000F7BDA">
        <w:rPr>
          <w:b/>
          <w:bCs/>
          <w:i/>
          <w:iCs/>
        </w:rPr>
        <w:t>Bank of Japan started to raise</w:t>
      </w:r>
      <w:r w:rsidRPr="007D1D5E">
        <w:rPr>
          <w:i/>
          <w:iCs/>
        </w:rPr>
        <w:t xml:space="preserve"> </w:t>
      </w:r>
      <w:r w:rsidRPr="000F7BDA">
        <w:rPr>
          <w:b/>
          <w:bCs/>
          <w:i/>
          <w:iCs/>
        </w:rPr>
        <w:t>interest rates</w:t>
      </w:r>
      <w:r w:rsidRPr="007D1D5E">
        <w:rPr>
          <w:i/>
          <w:iCs/>
        </w:rPr>
        <w:t xml:space="preserve"> at the end of July 2024 that have been below or around zero for the last 25 years. This prompted investors to buy </w:t>
      </w:r>
      <w:r w:rsidRPr="007D1D5E">
        <w:rPr>
          <w:rFonts w:cstheme="minorHAnsi"/>
          <w:i/>
          <w:iCs/>
        </w:rPr>
        <w:t>¥</w:t>
      </w:r>
      <w:r w:rsidRPr="007D1D5E">
        <w:rPr>
          <w:i/>
          <w:iCs/>
        </w:rPr>
        <w:t xml:space="preserve"> and sell US$</w:t>
      </w:r>
      <w:r w:rsidR="000F7BDA">
        <w:rPr>
          <w:i/>
          <w:iCs/>
        </w:rPr>
        <w:t xml:space="preserve"> bonds or sell shares to pay for the </w:t>
      </w:r>
      <w:r w:rsidR="000F7BDA">
        <w:rPr>
          <w:rFonts w:cstheme="minorHAnsi"/>
          <w:i/>
          <w:iCs/>
        </w:rPr>
        <w:t>¥</w:t>
      </w:r>
      <w:r w:rsidR="000F7BDA">
        <w:rPr>
          <w:i/>
          <w:iCs/>
        </w:rPr>
        <w:t xml:space="preserve"> purchase </w:t>
      </w:r>
      <w:r w:rsidRPr="007D1D5E">
        <w:rPr>
          <w:i/>
          <w:iCs/>
        </w:rPr>
        <w:t>triggering the unwind as the 4% arbitrage quickly went from profit to loss</w:t>
      </w:r>
      <w:r w:rsidR="005647E0" w:rsidRPr="007D1D5E">
        <w:rPr>
          <w:i/>
          <w:iCs/>
        </w:rPr>
        <w:t xml:space="preserve"> despite the rally in US bond yields</w:t>
      </w:r>
      <w:r w:rsidR="000F7BDA">
        <w:rPr>
          <w:i/>
          <w:iCs/>
        </w:rPr>
        <w:t xml:space="preserve"> (carry trade +4%, </w:t>
      </w:r>
      <w:r w:rsidR="000F7BDA">
        <w:rPr>
          <w:rFonts w:cstheme="minorHAnsi"/>
          <w:i/>
          <w:iCs/>
        </w:rPr>
        <w:t>¥</w:t>
      </w:r>
      <w:r w:rsidR="000F7BDA">
        <w:rPr>
          <w:i/>
          <w:iCs/>
        </w:rPr>
        <w:t xml:space="preserve"> -13.3% &amp; US$ bonds +8.175</w:t>
      </w:r>
      <w:r w:rsidR="00C562A1">
        <w:rPr>
          <w:i/>
          <w:iCs/>
        </w:rPr>
        <w:t>%</w:t>
      </w:r>
      <w:r w:rsidR="000F7BDA">
        <w:rPr>
          <w:i/>
          <w:iCs/>
        </w:rPr>
        <w:t xml:space="preserve"> = -1.13%)</w:t>
      </w:r>
      <w:r w:rsidRPr="007D1D5E">
        <w:rPr>
          <w:i/>
          <w:iCs/>
        </w:rPr>
        <w:t>.</w:t>
      </w:r>
      <w:r w:rsidR="00BB66F2">
        <w:rPr>
          <w:i/>
          <w:iCs/>
        </w:rPr>
        <w:t xml:space="preserve"> </w:t>
      </w:r>
    </w:p>
    <w:p w14:paraId="76A6BC6D" w14:textId="54804EB8" w:rsidR="00FF2536" w:rsidRPr="0074456C" w:rsidRDefault="0025660A" w:rsidP="004E0CA0">
      <w:pPr>
        <w:rPr>
          <w:b/>
          <w:bCs/>
        </w:rPr>
      </w:pPr>
      <w:r>
        <w:t>US i</w:t>
      </w:r>
      <w:r w:rsidR="007E4696">
        <w:t xml:space="preserve">nvestors </w:t>
      </w:r>
      <w:r w:rsidR="00FF2536">
        <w:t xml:space="preserve">were given a boost by the comments made by Jerome Powell, The Fed Chairperson, following the Jackson Hole Symposium that the next move on the target cash rate front is likely to be down. </w:t>
      </w:r>
      <w:r w:rsidR="00FF2536" w:rsidRPr="0074456C">
        <w:rPr>
          <w:b/>
          <w:bCs/>
        </w:rPr>
        <w:t>The next FOMC meeting on Monetary Policy is the 17/18 September 2024.</w:t>
      </w:r>
    </w:p>
    <w:p w14:paraId="3438AC23" w14:textId="682D7F23" w:rsidR="00FF15E7" w:rsidRDefault="00FF15E7" w:rsidP="00FF15E7">
      <w:pPr>
        <w:rPr>
          <w:b/>
          <w:bCs/>
        </w:rPr>
      </w:pPr>
      <w:r w:rsidRPr="0074456C">
        <w:t xml:space="preserve">The US Federal Reserve Bank maintained the target range for the federal funds rate at </w:t>
      </w:r>
      <w:r>
        <w:rPr>
          <w:b/>
          <w:bCs/>
        </w:rPr>
        <w:t xml:space="preserve">5.25%-5.0% at the FOMC meeting held on the </w:t>
      </w:r>
      <w:r w:rsidR="003A1040">
        <w:rPr>
          <w:b/>
          <w:bCs/>
        </w:rPr>
        <w:t>30/31</w:t>
      </w:r>
      <w:r w:rsidR="003A1040" w:rsidRPr="003A1040">
        <w:rPr>
          <w:b/>
          <w:bCs/>
          <w:vertAlign w:val="superscript"/>
        </w:rPr>
        <w:t>st</w:t>
      </w:r>
      <w:r w:rsidR="003A1040">
        <w:rPr>
          <w:b/>
          <w:bCs/>
        </w:rPr>
        <w:t xml:space="preserve"> July</w:t>
      </w:r>
      <w:r>
        <w:rPr>
          <w:b/>
          <w:bCs/>
        </w:rPr>
        <w:t xml:space="preserve"> 2024. </w:t>
      </w:r>
    </w:p>
    <w:p w14:paraId="1AD12363" w14:textId="1F37A16E" w:rsidR="00FF15E7" w:rsidRPr="00FF15E7" w:rsidRDefault="00FF15E7" w:rsidP="00FF15E7">
      <w:pPr>
        <w:ind w:left="720"/>
        <w:rPr>
          <w:i/>
          <w:iCs/>
        </w:rPr>
      </w:pPr>
      <w:r w:rsidRPr="00FF15E7">
        <w:rPr>
          <w:b/>
          <w:bCs/>
          <w:i/>
          <w:iCs/>
        </w:rPr>
        <w:t>“</w:t>
      </w:r>
      <w:r w:rsidRPr="00FF15E7">
        <w:rPr>
          <w:i/>
          <w:iCs/>
        </w:rPr>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Pr="00FF15E7">
        <w:rPr>
          <w:b/>
          <w:bCs/>
          <w:i/>
          <w:iCs/>
        </w:rPr>
        <w:t xml:space="preserve"> </w:t>
      </w:r>
      <w:r w:rsidRPr="00FF15E7">
        <w:rPr>
          <w:i/>
          <w:iCs/>
        </w:rPr>
        <w:t>Source: FOMC policy statement, The Federal Reserve Bank.</w:t>
      </w:r>
    </w:p>
    <w:p w14:paraId="6D6130F4" w14:textId="77777777" w:rsidR="0021071B" w:rsidRDefault="0021071B" w:rsidP="0021071B">
      <w:r>
        <w:t>In addition, the US FOMC will continue to reduce its holdings of Treasury securities and agency debt and agency mortgage-backed securities, as described in its previously announced plans. This drains liquidity from the system.</w:t>
      </w:r>
    </w:p>
    <w:p w14:paraId="64475292" w14:textId="30F27E92" w:rsidR="00FF15E7" w:rsidRDefault="00FF15E7" w:rsidP="00FF15E7">
      <w:r w:rsidRPr="008E5840">
        <w:rPr>
          <w:color w:val="auto"/>
        </w:rPr>
        <w:lastRenderedPageBreak/>
        <w:t xml:space="preserve">The latest US </w:t>
      </w:r>
      <w:r w:rsidR="00AC74AA" w:rsidRPr="008E5840">
        <w:rPr>
          <w:color w:val="auto"/>
        </w:rPr>
        <w:t xml:space="preserve">annual </w:t>
      </w:r>
      <w:r w:rsidRPr="008E5840">
        <w:rPr>
          <w:color w:val="auto"/>
        </w:rPr>
        <w:t xml:space="preserve">inflation data slowed </w:t>
      </w:r>
      <w:bookmarkStart w:id="1" w:name="_Hlk169250034"/>
      <w:r w:rsidRPr="008E5840">
        <w:rPr>
          <w:color w:val="auto"/>
        </w:rPr>
        <w:t xml:space="preserve">to </w:t>
      </w:r>
      <w:r w:rsidR="008E5840" w:rsidRPr="008E5840">
        <w:rPr>
          <w:b/>
          <w:bCs/>
          <w:color w:val="auto"/>
        </w:rPr>
        <w:t>+2.</w:t>
      </w:r>
      <w:r w:rsidR="00FF2536">
        <w:rPr>
          <w:b/>
          <w:bCs/>
          <w:color w:val="auto"/>
        </w:rPr>
        <w:t>5</w:t>
      </w:r>
      <w:r w:rsidRPr="008E5840">
        <w:rPr>
          <w:b/>
          <w:bCs/>
          <w:color w:val="auto"/>
        </w:rPr>
        <w:t xml:space="preserve">% in </w:t>
      </w:r>
      <w:r w:rsidR="00FF2536">
        <w:rPr>
          <w:b/>
          <w:bCs/>
          <w:color w:val="auto"/>
        </w:rPr>
        <w:t>August</w:t>
      </w:r>
      <w:r w:rsidRPr="008E5840">
        <w:rPr>
          <w:b/>
          <w:bCs/>
          <w:color w:val="auto"/>
        </w:rPr>
        <w:t xml:space="preserve"> 2024</w:t>
      </w:r>
      <w:r>
        <w:t xml:space="preserve"> from </w:t>
      </w:r>
      <w:r w:rsidR="008E5840">
        <w:t>+</w:t>
      </w:r>
      <w:r w:rsidR="00FF2536">
        <w:t>2.9</w:t>
      </w:r>
      <w:r>
        <w:t xml:space="preserve">% in </w:t>
      </w:r>
      <w:r w:rsidR="008E5840">
        <w:t>Ju</w:t>
      </w:r>
      <w:r w:rsidR="00FF2536">
        <w:t>ly</w:t>
      </w:r>
      <w:r>
        <w:t xml:space="preserve"> 2024. </w:t>
      </w:r>
      <w:bookmarkEnd w:id="1"/>
      <w:r>
        <w:t xml:space="preserve">Investors </w:t>
      </w:r>
      <w:r w:rsidR="00D1117C">
        <w:t xml:space="preserve">are now feeling more convinced that the </w:t>
      </w:r>
      <w:r w:rsidR="00D1117C" w:rsidRPr="00D1117C">
        <w:rPr>
          <w:b/>
          <w:bCs/>
        </w:rPr>
        <w:t>Fed will ease between 25 and 50 basis points</w:t>
      </w:r>
      <w:r w:rsidR="00D1117C">
        <w:t xml:space="preserve"> at the next Fed meeting following the inflation print.</w:t>
      </w:r>
      <w:r w:rsidR="00B3221F">
        <w:t xml:space="preserve"> Core inflation Y-O-Y </w:t>
      </w:r>
      <w:r w:rsidR="00D1117C">
        <w:t>held steady at</w:t>
      </w:r>
      <w:r w:rsidR="00B3221F">
        <w:t xml:space="preserve"> </w:t>
      </w:r>
      <w:r w:rsidR="00854E2E">
        <w:t>+</w:t>
      </w:r>
      <w:r w:rsidR="00B3221F">
        <w:t>3.</w:t>
      </w:r>
      <w:r w:rsidR="00854E2E">
        <w:t>2</w:t>
      </w:r>
      <w:r w:rsidR="00B3221F">
        <w:t xml:space="preserve">% in </w:t>
      </w:r>
      <w:r w:rsidR="00D1117C">
        <w:t>August 2024</w:t>
      </w:r>
      <w:r w:rsidR="00B3221F">
        <w:t xml:space="preserve">. Core inflation excludes volatile items such as food and energy. </w:t>
      </w:r>
    </w:p>
    <w:p w14:paraId="6FF8649E" w14:textId="611F2688" w:rsidR="000B4202" w:rsidRDefault="00D1117C" w:rsidP="004E0CA0">
      <w:r>
        <w:t>From</w:t>
      </w:r>
      <w:r w:rsidR="00D712E9">
        <w:t xml:space="preserve"> a risk return perspective, markets are improving:</w:t>
      </w:r>
    </w:p>
    <w:p w14:paraId="43E51706" w14:textId="682FFE51" w:rsidR="00375195" w:rsidRDefault="00D1117C" w:rsidP="00A87065">
      <w:pPr>
        <w:jc w:val="center"/>
      </w:pPr>
      <w:r w:rsidRPr="00D1117C">
        <w:rPr>
          <w:noProof/>
        </w:rPr>
        <w:drawing>
          <wp:inline distT="0" distB="0" distL="0" distR="0" wp14:anchorId="7B3A49EA" wp14:editId="00029EDB">
            <wp:extent cx="5902763" cy="4114800"/>
            <wp:effectExtent l="0" t="0" r="3175" b="0"/>
            <wp:docPr id="1339035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96" cy="4115869"/>
                    </a:xfrm>
                    <a:prstGeom prst="rect">
                      <a:avLst/>
                    </a:prstGeom>
                    <a:noFill/>
                    <a:ln>
                      <a:noFill/>
                    </a:ln>
                  </pic:spPr>
                </pic:pic>
              </a:graphicData>
            </a:graphic>
          </wp:inline>
        </w:drawing>
      </w:r>
    </w:p>
    <w:p w14:paraId="708850CE" w14:textId="0D6F509C" w:rsidR="00D712E9" w:rsidRDefault="00D712E9" w:rsidP="00D712E9">
      <w:r w:rsidRPr="00D712E9">
        <w:rPr>
          <w:sz w:val="18"/>
        </w:rPr>
        <w:t xml:space="preserve"> </w:t>
      </w:r>
      <w:r w:rsidRPr="00A70A09">
        <w:rPr>
          <w:sz w:val="18"/>
        </w:rPr>
        <w:t xml:space="preserve">Source data: Lonsec as of </w:t>
      </w:r>
      <w:r w:rsidR="00D528C0">
        <w:rPr>
          <w:sz w:val="18"/>
        </w:rPr>
        <w:t>3</w:t>
      </w:r>
      <w:r w:rsidR="009C5D87">
        <w:rPr>
          <w:sz w:val="18"/>
        </w:rPr>
        <w:t>1</w:t>
      </w:r>
      <w:r w:rsidR="009C5D87" w:rsidRPr="009C5D87">
        <w:rPr>
          <w:sz w:val="18"/>
          <w:vertAlign w:val="superscript"/>
        </w:rPr>
        <w:t>st</w:t>
      </w:r>
      <w:r w:rsidR="009C5D87">
        <w:rPr>
          <w:sz w:val="18"/>
        </w:rPr>
        <w:t xml:space="preserve"> </w:t>
      </w:r>
      <w:r w:rsidR="00D1117C">
        <w:rPr>
          <w:sz w:val="18"/>
        </w:rPr>
        <w:t>August</w:t>
      </w:r>
      <w:r w:rsidR="00B3221F">
        <w:rPr>
          <w:sz w:val="18"/>
        </w:rPr>
        <w:t xml:space="preserv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096814E6" w14:textId="58A6C289" w:rsidR="003757D8" w:rsidRPr="005C178D" w:rsidRDefault="003627B9" w:rsidP="003757D8">
      <w:pPr>
        <w:spacing w:before="120"/>
      </w:pPr>
      <w:r>
        <w:t>In Australia, t</w:t>
      </w:r>
      <w:r w:rsidR="005D39F6">
        <w:t>he</w:t>
      </w:r>
      <w:r w:rsidR="005D39F6" w:rsidRPr="005D39F6">
        <w:t xml:space="preserve"> S&amp;PASX200 volatility (VIX) </w:t>
      </w:r>
      <w:r w:rsidR="00A85212">
        <w:t xml:space="preserve">had a </w:t>
      </w:r>
      <w:r w:rsidR="00FE30E8">
        <w:t>wild ride</w:t>
      </w:r>
      <w:r w:rsidR="00A85212">
        <w:t xml:space="preserve"> over </w:t>
      </w:r>
      <w:r w:rsidR="00FE30E8">
        <w:t>August</w:t>
      </w:r>
      <w:r w:rsidR="00A85212">
        <w:t xml:space="preserve"> 2024 </w:t>
      </w:r>
      <w:r w:rsidR="005D39F6" w:rsidRPr="005D39F6">
        <w:t xml:space="preserve">closing at </w:t>
      </w:r>
      <w:r w:rsidR="00811AB7">
        <w:t>1</w:t>
      </w:r>
      <w:r w:rsidR="00FE30E8">
        <w:t>0</w:t>
      </w:r>
      <w:r w:rsidR="00AC74AA">
        <w:t>.</w:t>
      </w:r>
      <w:r w:rsidR="00FE30E8">
        <w:t>94</w:t>
      </w:r>
      <w:r w:rsidR="005D39F6" w:rsidRPr="005D39F6">
        <w:t xml:space="preserve"> as of </w:t>
      </w:r>
      <w:r w:rsidR="00AC74AA">
        <w:t>3</w:t>
      </w:r>
      <w:r w:rsidR="00FE30E8">
        <w:t>0</w:t>
      </w:r>
      <w:r w:rsidR="00AC74AA" w:rsidRPr="00AC74AA">
        <w:rPr>
          <w:vertAlign w:val="superscript"/>
        </w:rPr>
        <w:t>st</w:t>
      </w:r>
      <w:r w:rsidR="00AC74AA">
        <w:t xml:space="preserve"> </w:t>
      </w:r>
      <w:r w:rsidR="00FE30E8">
        <w:t>August</w:t>
      </w:r>
      <w:r w:rsidR="005D39F6" w:rsidRPr="005D39F6">
        <w:t xml:space="preserve">2024 after finishing </w:t>
      </w:r>
      <w:r w:rsidR="00AC74AA">
        <w:t>Ju</w:t>
      </w:r>
      <w:r w:rsidR="00FE30E8">
        <w:t>ly</w:t>
      </w:r>
      <w:r w:rsidR="005D39F6" w:rsidRPr="005D39F6">
        <w:t xml:space="preserve"> 2024 at </w:t>
      </w:r>
      <w:r w:rsidR="00922DE0">
        <w:t>1</w:t>
      </w:r>
      <w:r w:rsidR="00FE30E8">
        <w:t>2.33</w:t>
      </w:r>
      <w:r w:rsidR="005D39F6" w:rsidRPr="005D39F6">
        <w:t xml:space="preserve">. </w:t>
      </w:r>
      <w:r w:rsidR="00A85212">
        <w:t xml:space="preserve">It did hit a </w:t>
      </w:r>
      <w:r w:rsidR="00AC74AA">
        <w:t>high</w:t>
      </w:r>
      <w:r w:rsidR="00A85212">
        <w:t xml:space="preserve"> of </w:t>
      </w:r>
      <w:r w:rsidR="00AC74AA">
        <w:t>18.84</w:t>
      </w:r>
      <w:r w:rsidR="00A85212">
        <w:t xml:space="preserve"> on the </w:t>
      </w:r>
      <w:r w:rsidR="00AC74AA">
        <w:t>5</w:t>
      </w:r>
      <w:r w:rsidR="00AC74AA" w:rsidRPr="00AC74AA">
        <w:rPr>
          <w:vertAlign w:val="superscript"/>
        </w:rPr>
        <w:t>th of</w:t>
      </w:r>
      <w:r w:rsidR="00AC74AA">
        <w:t xml:space="preserve"> August</w:t>
      </w:r>
      <w:r w:rsidR="00A85212">
        <w:t xml:space="preserve"> 2024</w:t>
      </w:r>
      <w:r w:rsidR="00FE30E8">
        <w:t xml:space="preserve"> </w:t>
      </w:r>
      <w:r w:rsidR="00FE30E8">
        <w:lastRenderedPageBreak/>
        <w:t xml:space="preserve">but then eased back </w:t>
      </w:r>
      <w:r w:rsidR="005D39F6" w:rsidRPr="005D39F6">
        <w:t>trading at 1</w:t>
      </w:r>
      <w:r w:rsidR="00AC74AA">
        <w:t>2.</w:t>
      </w:r>
      <w:r w:rsidR="00FE30E8">
        <w:t>41</w:t>
      </w:r>
      <w:r w:rsidR="005D39F6" w:rsidRPr="005D39F6">
        <w:t xml:space="preserve"> as at close of business </w:t>
      </w:r>
      <w:r w:rsidR="00AC74AA">
        <w:t>1</w:t>
      </w:r>
      <w:r w:rsidR="00FE30E8">
        <w:t>3</w:t>
      </w:r>
      <w:r w:rsidR="00AC74AA" w:rsidRPr="00AC74AA">
        <w:rPr>
          <w:vertAlign w:val="superscript"/>
        </w:rPr>
        <w:t>th</w:t>
      </w:r>
      <w:r w:rsidR="00AC74AA">
        <w:t xml:space="preserve"> </w:t>
      </w:r>
      <w:r w:rsidR="00FE30E8">
        <w:t xml:space="preserve">September </w:t>
      </w:r>
      <w:r w:rsidR="005D39F6" w:rsidRPr="005D39F6">
        <w:t>2024 (Source: S&amp;P/ASX200 VIX).</w:t>
      </w:r>
      <w:r w:rsidR="00966124" w:rsidRPr="005C178D">
        <w:t xml:space="preserve"> </w:t>
      </w:r>
    </w:p>
    <w:p w14:paraId="74599E14" w14:textId="5FB2CA3E" w:rsidR="002D5D13" w:rsidRDefault="002D5D13" w:rsidP="002D5D13">
      <w:r>
        <w:t>The e</w:t>
      </w:r>
      <w:r w:rsidR="009E742F">
        <w:t>xpectations for fu</w:t>
      </w:r>
      <w:r>
        <w:t>ture</w:t>
      </w:r>
      <w:r w:rsidR="009E742F">
        <w:t xml:space="preserve"> </w:t>
      </w:r>
      <w:r>
        <w:t xml:space="preserve">easing of </w:t>
      </w:r>
      <w:r w:rsidR="009E742F">
        <w:t>interest rate</w:t>
      </w:r>
      <w:r w:rsidR="00F133F4">
        <w:t>s</w:t>
      </w:r>
      <w:r w:rsidR="00780ED6">
        <w:t xml:space="preserve"> </w:t>
      </w:r>
      <w:r w:rsidR="00FE30E8">
        <w:t xml:space="preserve">in the US is </w:t>
      </w:r>
      <w:r w:rsidR="0074456C">
        <w:t>highly likely</w:t>
      </w:r>
      <w:r w:rsidR="00FE30E8">
        <w:t xml:space="preserve"> however, </w:t>
      </w:r>
      <w:r w:rsidR="00F133F4">
        <w:t xml:space="preserve">the Australian </w:t>
      </w:r>
      <w:r w:rsidR="00FE30E8">
        <w:t xml:space="preserve">interest rate </w:t>
      </w:r>
      <w:r w:rsidR="00F133F4">
        <w:t xml:space="preserve">futures market </w:t>
      </w:r>
      <w:r w:rsidR="00FE30E8">
        <w:t xml:space="preserve">is </w:t>
      </w:r>
      <w:r w:rsidR="00F133F4">
        <w:t>pricing</w:t>
      </w:r>
      <w:r w:rsidR="00FE30E8">
        <w:t xml:space="preserve"> in</w:t>
      </w:r>
      <w:r w:rsidR="00F133F4">
        <w:t xml:space="preserve"> </w:t>
      </w:r>
      <w:r w:rsidR="00A74FED" w:rsidRPr="00A74FED">
        <w:rPr>
          <w:b/>
          <w:bCs/>
        </w:rPr>
        <w:t xml:space="preserve">the first RBA cut will be in </w:t>
      </w:r>
      <w:r w:rsidR="00FE30E8">
        <w:rPr>
          <w:b/>
          <w:bCs/>
        </w:rPr>
        <w:t xml:space="preserve">February </w:t>
      </w:r>
      <w:r w:rsidR="00A74FED" w:rsidRPr="00A74FED">
        <w:rPr>
          <w:b/>
          <w:bCs/>
        </w:rPr>
        <w:t>2025</w:t>
      </w:r>
      <w:r w:rsidR="00A74FED">
        <w:t>.</w:t>
      </w:r>
      <w:r>
        <w:t xml:space="preserve"> </w:t>
      </w:r>
    </w:p>
    <w:p w14:paraId="6664BFA6" w14:textId="584D4734" w:rsidR="008B2268" w:rsidRDefault="008B2268" w:rsidP="004E0CA0">
      <w:r>
        <w:t xml:space="preserve">The </w:t>
      </w:r>
      <w:r w:rsidR="009756E0">
        <w:t>issues at the forefront of investors thoughts included</w:t>
      </w:r>
      <w:r>
        <w:t>:</w:t>
      </w:r>
    </w:p>
    <w:p w14:paraId="34A13A22" w14:textId="5288070F" w:rsidR="00360014" w:rsidRDefault="00360014" w:rsidP="003C40F3">
      <w:pPr>
        <w:pStyle w:val="ListParagraph"/>
        <w:numPr>
          <w:ilvl w:val="0"/>
          <w:numId w:val="8"/>
        </w:numPr>
      </w:pPr>
      <w:r>
        <w:t xml:space="preserve">US Politics – </w:t>
      </w:r>
      <w:r w:rsidR="00A74FED">
        <w:t xml:space="preserve">The </w:t>
      </w:r>
      <w:r w:rsidR="00FE30E8">
        <w:t xml:space="preserve">US election is in full swing with the </w:t>
      </w:r>
      <w:r w:rsidR="00A74FED">
        <w:t xml:space="preserve">Democrats </w:t>
      </w:r>
      <w:r w:rsidR="00FE30E8" w:rsidRPr="00A74FED">
        <w:rPr>
          <w:b/>
          <w:bCs/>
        </w:rPr>
        <w:t>Vice President, Kamala Harris</w:t>
      </w:r>
      <w:r w:rsidR="00FE30E8">
        <w:t xml:space="preserve">  and Republican </w:t>
      </w:r>
      <w:r w:rsidR="00FE30E8" w:rsidRPr="00FE30E8">
        <w:rPr>
          <w:b/>
          <w:bCs/>
        </w:rPr>
        <w:t>Donald Trump</w:t>
      </w:r>
      <w:r w:rsidR="00FE30E8">
        <w:t xml:space="preserve"> now locked in for </w:t>
      </w:r>
      <w:r w:rsidR="00A74FED">
        <w:t xml:space="preserve">the </w:t>
      </w:r>
      <w:r w:rsidR="00A74FED" w:rsidRPr="00EC5C3C">
        <w:rPr>
          <w:b/>
          <w:bCs/>
        </w:rPr>
        <w:t>November 5</w:t>
      </w:r>
      <w:r w:rsidR="00EC5C3C">
        <w:t>,</w:t>
      </w:r>
      <w:r w:rsidR="00EC5C3C" w:rsidRPr="00EC5C3C">
        <w:rPr>
          <w:b/>
          <w:bCs/>
        </w:rPr>
        <w:t xml:space="preserve"> 2024</w:t>
      </w:r>
      <w:r w:rsidR="00FE30E8">
        <w:rPr>
          <w:b/>
          <w:bCs/>
        </w:rPr>
        <w:t>.</w:t>
      </w:r>
    </w:p>
    <w:p w14:paraId="568D4ABF" w14:textId="050BE6C8"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Humas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1FB9EABA"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growth prospects the central theme. GDP is resilient around the 5%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t>falling growth prospects has impacted the demand prices of oil, iron ore</w:t>
      </w:r>
      <w:r w:rsidR="003E5CBD">
        <w:t xml:space="preserve"> and other resources, except Gold which remains well supported.</w:t>
      </w:r>
    </w:p>
    <w:p w14:paraId="0D3E5B51" w14:textId="31AAE360"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a </w:t>
      </w:r>
      <w:r w:rsidR="003627B9">
        <w:t xml:space="preserve"> </w:t>
      </w:r>
      <w:r w:rsidR="003627B9" w:rsidRPr="003E5CBD">
        <w:rPr>
          <w:b/>
          <w:bCs/>
        </w:rPr>
        <w:t xml:space="preserve">slight easing bias </w:t>
      </w:r>
      <w:r w:rsidR="00EB0473" w:rsidRPr="003E5CBD">
        <w:rPr>
          <w:b/>
          <w:bCs/>
        </w:rPr>
        <w:t xml:space="preserve">which </w:t>
      </w:r>
      <w:r w:rsidR="003627B9" w:rsidRPr="003E5CBD">
        <w:rPr>
          <w:b/>
          <w:bCs/>
        </w:rPr>
        <w:t>is aiding optimism</w:t>
      </w:r>
      <w:r w:rsidR="00B115AE">
        <w:t>,</w:t>
      </w:r>
      <w:r w:rsidR="00397D87">
        <w:t xml:space="preserve"> </w:t>
      </w:r>
      <w:r w:rsidR="00EB0473">
        <w:t xml:space="preserve">as the numbers are starting to hit within the </w:t>
      </w:r>
      <w:r w:rsidR="00601243">
        <w:t>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00658705" w:rsidR="00BC11B5" w:rsidRDefault="00BC11B5" w:rsidP="003C40F3">
      <w:pPr>
        <w:pStyle w:val="ListParagraph"/>
        <w:numPr>
          <w:ilvl w:val="0"/>
          <w:numId w:val="8"/>
        </w:numPr>
      </w:pPr>
      <w:r>
        <w:t xml:space="preserve">Bond markets </w:t>
      </w:r>
      <w:r w:rsidR="00FB0752">
        <w:t xml:space="preserve">and </w:t>
      </w:r>
      <w:r w:rsidR="00B44AF0">
        <w:t xml:space="preserve">their response to the </w:t>
      </w:r>
      <w:r w:rsidR="00E7618A">
        <w:t xml:space="preserve">start of easing </w:t>
      </w:r>
      <w:r w:rsidR="001921CE">
        <w:t xml:space="preserve">programme for interest rates </w:t>
      </w:r>
      <w:r w:rsidR="00E7618A">
        <w:t xml:space="preserve">by </w:t>
      </w:r>
      <w:r w:rsidR="003E5CBD">
        <w:t>several</w:t>
      </w:r>
      <w:r w:rsidR="008E5840">
        <w:t xml:space="preserve"> </w:t>
      </w:r>
      <w:r w:rsidR="00E7618A">
        <w:t xml:space="preserve">Central Banks </w:t>
      </w:r>
      <w:r w:rsidR="003E5CBD">
        <w:t xml:space="preserve">were supported by </w:t>
      </w:r>
      <w:r w:rsidR="00E7618A">
        <w:t xml:space="preserve">the </w:t>
      </w:r>
      <w:r w:rsidR="00B44AF0">
        <w:t>latest inflation print</w:t>
      </w:r>
      <w:r w:rsidR="0021071B">
        <w:t xml:space="preserve">. With </w:t>
      </w:r>
      <w:r w:rsidR="001921CE">
        <w:t>several</w:t>
      </w:r>
      <w:r w:rsidR="0021071B">
        <w:t xml:space="preserve"> Central Banks moving to stimulate their economy early through easing interest rates, </w:t>
      </w:r>
      <w:r w:rsidR="00A97612">
        <w:t>the debt markets</w:t>
      </w:r>
      <w:r w:rsidR="00B115AE">
        <w:t xml:space="preserve"> </w:t>
      </w:r>
      <w:r w:rsidR="001921CE">
        <w:t>should follow in the months ahead</w:t>
      </w:r>
      <w:r w:rsidR="006820B4">
        <w:t xml:space="preserve">. </w:t>
      </w:r>
    </w:p>
    <w:p w14:paraId="07A4B833" w14:textId="1F10ACBB" w:rsidR="008B2268" w:rsidRDefault="002C6C3E" w:rsidP="003C40F3">
      <w:pPr>
        <w:pStyle w:val="ListParagraph"/>
        <w:numPr>
          <w:ilvl w:val="0"/>
          <w:numId w:val="8"/>
        </w:numPr>
      </w:pPr>
      <w:r>
        <w:t>M</w:t>
      </w:r>
      <w:r w:rsidR="00894F9E">
        <w:t>arket</w:t>
      </w:r>
      <w:r w:rsidR="001415A2">
        <w:t xml:space="preserve"> valuations are </w:t>
      </w:r>
      <w:r w:rsidR="001921CE">
        <w:t xml:space="preserve">still </w:t>
      </w:r>
      <w:r w:rsidR="001415A2">
        <w:t>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 the </w:t>
      </w:r>
      <w:r w:rsidR="00811AB7">
        <w:t>3rd</w:t>
      </w:r>
      <w:r w:rsidR="005D4428">
        <w:t xml:space="preserve"> and </w:t>
      </w:r>
      <w:r w:rsidR="00811AB7">
        <w:t>4th</w:t>
      </w:r>
      <w:r w:rsidR="005D4428">
        <w:t xml:space="preserve"> quarter of 2024.</w:t>
      </w:r>
      <w:r w:rsidR="00A00F13">
        <w:t xml:space="preserve"> </w:t>
      </w:r>
    </w:p>
    <w:p w14:paraId="56D9FA2F" w14:textId="2BA6A27F" w:rsidR="009300A6" w:rsidRDefault="00BC11B5" w:rsidP="004E0CA0">
      <w:r>
        <w:t>Locally the d</w:t>
      </w:r>
      <w:r w:rsidR="009300A6">
        <w:t xml:space="preserve">omestic house prices </w:t>
      </w:r>
      <w:r w:rsidR="001921CE">
        <w:t xml:space="preserve">are starting to run out of steam </w:t>
      </w:r>
      <w:r w:rsidR="00024249">
        <w:t xml:space="preserve">but stubbornly </w:t>
      </w:r>
      <w:r w:rsidR="00384EB8">
        <w:t xml:space="preserve">higher </w:t>
      </w:r>
      <w:r w:rsidR="00114A2E">
        <w:t xml:space="preserve">despite the </w:t>
      </w:r>
      <w:r w:rsidR="009300A6">
        <w:t>brunt of the interest rate rises</w:t>
      </w:r>
      <w:r w:rsidR="00A00F13">
        <w:t xml:space="preserve"> </w:t>
      </w:r>
      <w:r w:rsidR="00384EB8">
        <w:t xml:space="preserve">as </w:t>
      </w:r>
      <w:r w:rsidR="00811AB7">
        <w:t xml:space="preserve">demand </w:t>
      </w:r>
      <w:r w:rsidR="0021071B">
        <w:t xml:space="preserve">continues to </w:t>
      </w:r>
      <w:r w:rsidR="00811AB7">
        <w:t xml:space="preserve">outstrip supply across </w:t>
      </w:r>
      <w:r w:rsidR="00A00F13">
        <w:t xml:space="preserve">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well </w:t>
      </w:r>
      <w:r>
        <w:t xml:space="preserve">given the </w:t>
      </w:r>
      <w:r w:rsidR="00894F9E">
        <w:t xml:space="preserve">mixed </w:t>
      </w:r>
      <w:r>
        <w:t xml:space="preserve">support from </w:t>
      </w:r>
      <w:r w:rsidR="00DB1D18">
        <w:t>high immigration levels</w:t>
      </w:r>
      <w:r w:rsidR="00024249">
        <w:t xml:space="preserve"> </w:t>
      </w:r>
      <w:r w:rsidR="00077B36">
        <w:t>and the strong level of employment</w:t>
      </w:r>
      <w:r w:rsidR="00B648FE">
        <w:t xml:space="preserve"> </w:t>
      </w:r>
      <w:r w:rsidR="00384EB8">
        <w:t xml:space="preserve">with </w:t>
      </w:r>
      <w:r w:rsidR="00B648FE">
        <w:t>unemployment</w:t>
      </w:r>
      <w:r w:rsidR="00384EB8">
        <w:t xml:space="preserve"> sitting at </w:t>
      </w:r>
      <w:r w:rsidR="005E2C87">
        <w:t>4.</w:t>
      </w:r>
      <w:r w:rsidR="003E5CBD">
        <w:t>2</w:t>
      </w:r>
      <w:r w:rsidR="005E2C87">
        <w:t>%</w:t>
      </w:r>
      <w:r w:rsidR="00811AB7">
        <w:t xml:space="preserve"> in </w:t>
      </w:r>
      <w:r w:rsidR="00024249">
        <w:t>Ju</w:t>
      </w:r>
      <w:r w:rsidR="003E5CBD">
        <w:t>ly</w:t>
      </w:r>
      <w:r w:rsidR="00811AB7">
        <w:t xml:space="preserve"> 2024 </w:t>
      </w:r>
      <w:r w:rsidR="00024249">
        <w:t>up</w:t>
      </w:r>
      <w:r w:rsidR="00811AB7">
        <w:t xml:space="preserve"> from </w:t>
      </w:r>
      <w:r w:rsidR="005E2C87">
        <w:t>4.</w:t>
      </w:r>
      <w:r w:rsidR="003E5CBD">
        <w:t>1</w:t>
      </w:r>
      <w:r w:rsidR="00384EB8">
        <w:t>%</w:t>
      </w:r>
      <w:r w:rsidR="00B04E1B">
        <w:t xml:space="preserve"> in </w:t>
      </w:r>
      <w:r w:rsidR="003E5CBD">
        <w:t>June</w:t>
      </w:r>
      <w:r w:rsidR="00B04E1B">
        <w:t xml:space="preserve"> 202</w:t>
      </w:r>
      <w:r w:rsidR="005D4428">
        <w:t>4</w:t>
      </w:r>
      <w:r w:rsidR="002A13EC">
        <w:t>.</w:t>
      </w:r>
    </w:p>
    <w:p w14:paraId="6362B567" w14:textId="16EB020F" w:rsidR="007E753C" w:rsidRPr="00E72E45" w:rsidRDefault="00BB0237" w:rsidP="00BD4294">
      <w:pPr>
        <w:rPr>
          <w:b/>
          <w:bCs/>
        </w:rPr>
      </w:pPr>
      <w:r>
        <w:lastRenderedPageBreak/>
        <w:t>The latest</w:t>
      </w:r>
      <w:r w:rsidR="00533128">
        <w:t xml:space="preserve"> inflation </w:t>
      </w:r>
      <w:r w:rsidR="005E2C87">
        <w:t>prints</w:t>
      </w:r>
      <w:r w:rsidR="00533128">
        <w:t xml:space="preserve"> </w:t>
      </w:r>
      <w:r w:rsidR="002A13EC">
        <w:t xml:space="preserve">for </w:t>
      </w:r>
      <w:r w:rsidR="005E2C87">
        <w:t xml:space="preserve">(year-on-year) </w:t>
      </w:r>
      <w:r w:rsidR="00024249">
        <w:t>second</w:t>
      </w:r>
      <w:r w:rsidR="00E3272D">
        <w:t xml:space="preserve"> quarter </w:t>
      </w:r>
      <w:r w:rsidR="00B648FE">
        <w:t>of 202</w:t>
      </w:r>
      <w:r w:rsidR="00811AB7">
        <w:t>4</w:t>
      </w:r>
      <w:r w:rsidR="00B648FE">
        <w:t xml:space="preserve"> </w:t>
      </w:r>
      <w:r w:rsidR="00533128">
        <w:t xml:space="preserve">in </w:t>
      </w:r>
      <w:r w:rsidR="00742B86" w:rsidRPr="00024249">
        <w:rPr>
          <w:b/>
          <w:bCs/>
        </w:rPr>
        <w:t xml:space="preserve">Australia was </w:t>
      </w:r>
      <w:r w:rsidR="00811AB7" w:rsidRPr="00024249">
        <w:rPr>
          <w:b/>
          <w:bCs/>
        </w:rPr>
        <w:t>3.</w:t>
      </w:r>
      <w:r w:rsidR="00024249" w:rsidRPr="00024249">
        <w:rPr>
          <w:b/>
          <w:bCs/>
        </w:rPr>
        <w:t>8</w:t>
      </w:r>
      <w:r w:rsidR="00B26539" w:rsidRPr="00024249">
        <w:rPr>
          <w:b/>
          <w:bCs/>
        </w:rPr>
        <w:t>%</w:t>
      </w:r>
      <w:r w:rsidR="00B26539">
        <w:t xml:space="preserve"> </w:t>
      </w:r>
      <w:r w:rsidR="002A13EC">
        <w:t xml:space="preserve">which was </w:t>
      </w:r>
      <w:r w:rsidR="00024249">
        <w:t>up</w:t>
      </w:r>
      <w:r w:rsidR="002A13EC">
        <w:t xml:space="preserve"> from the </w:t>
      </w:r>
      <w:r w:rsidR="00024249">
        <w:t>3.6</w:t>
      </w:r>
      <w:r w:rsidR="002A13EC">
        <w:t xml:space="preserve">% in the </w:t>
      </w:r>
      <w:r w:rsidR="00811AB7">
        <w:t>f</w:t>
      </w:r>
      <w:r w:rsidR="00024249">
        <w:t>irst</w:t>
      </w:r>
      <w:r w:rsidR="002A13EC">
        <w:t xml:space="preserve"> quarter of 202</w:t>
      </w:r>
      <w:r w:rsidR="00024249">
        <w:t>4</w:t>
      </w:r>
      <w:r w:rsidR="00B648FE">
        <w:t xml:space="preserve"> but still elevated</w:t>
      </w:r>
      <w:r w:rsidR="002A13EC">
        <w:t xml:space="preserve">. </w:t>
      </w:r>
      <w:r w:rsidR="00024249">
        <w:t xml:space="preserve">This persistently high data reading on </w:t>
      </w:r>
      <w:r w:rsidR="001A2453">
        <w:t>inflation</w:t>
      </w:r>
      <w:r w:rsidR="00024249">
        <w:t xml:space="preserve"> forced the </w:t>
      </w:r>
      <w:r w:rsidR="00C103CF">
        <w:t xml:space="preserve">RBA </w:t>
      </w:r>
      <w:r w:rsidR="001A2453">
        <w:t xml:space="preserve">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857B6B" w:rsidRPr="00857B6B">
        <w:rPr>
          <w:b/>
          <w:bCs/>
        </w:rPr>
        <w:t>6</w:t>
      </w:r>
      <w:r w:rsidR="00857B6B" w:rsidRPr="00857B6B">
        <w:rPr>
          <w:b/>
          <w:bCs/>
          <w:vertAlign w:val="superscript"/>
        </w:rPr>
        <w:t>th of</w:t>
      </w:r>
      <w:r w:rsidR="00857B6B" w:rsidRPr="00857B6B">
        <w:rPr>
          <w:b/>
          <w:bCs/>
        </w:rPr>
        <w:t xml:space="preserve"> August</w:t>
      </w:r>
      <w:r w:rsidR="00E3272D" w:rsidRPr="00857B6B">
        <w:rPr>
          <w:b/>
          <w:bCs/>
        </w:rPr>
        <w:t xml:space="preserve"> </w:t>
      </w:r>
      <w:r w:rsidR="00634FDD" w:rsidRPr="00857B6B">
        <w:rPr>
          <w:b/>
          <w:bCs/>
        </w:rPr>
        <w:t>202</w:t>
      </w:r>
      <w:r w:rsidR="000E45E4" w:rsidRPr="00857B6B">
        <w:rPr>
          <w:b/>
          <w:bCs/>
        </w:rPr>
        <w:t>4</w:t>
      </w:r>
      <w:r w:rsidR="00EF169D" w:rsidRPr="00857B6B">
        <w:rPr>
          <w:b/>
          <w:bCs/>
        </w:rPr>
        <w:t>.</w:t>
      </w:r>
      <w:r w:rsidR="002A13EC">
        <w:t xml:space="preserve"> </w:t>
      </w:r>
      <w:r w:rsidR="00E72E45">
        <w:t xml:space="preserve">The </w:t>
      </w:r>
      <w:r w:rsidR="00E72E45" w:rsidRPr="00E72E45">
        <w:rPr>
          <w:b/>
          <w:bCs/>
        </w:rPr>
        <w:t>next RBA meeting is the 5</w:t>
      </w:r>
      <w:r w:rsidR="00E72E45" w:rsidRPr="00E72E45">
        <w:rPr>
          <w:b/>
          <w:bCs/>
          <w:vertAlign w:val="superscript"/>
        </w:rPr>
        <w:t>th of</w:t>
      </w:r>
      <w:r w:rsidR="00E72E45" w:rsidRPr="00E72E45">
        <w:rPr>
          <w:b/>
          <w:bCs/>
        </w:rPr>
        <w:t xml:space="preserve"> November 2024.</w:t>
      </w:r>
    </w:p>
    <w:p w14:paraId="0FCF2ECC" w14:textId="7804458F" w:rsidR="003354DA" w:rsidRDefault="007641BB" w:rsidP="003354DA">
      <w:pPr>
        <w:jc w:val="center"/>
      </w:pPr>
      <w:r w:rsidRPr="007641BB">
        <w:rPr>
          <w:noProof/>
        </w:rPr>
        <w:drawing>
          <wp:inline distT="0" distB="0" distL="0" distR="0" wp14:anchorId="37B6FC92" wp14:editId="565F3508">
            <wp:extent cx="2627939" cy="2386312"/>
            <wp:effectExtent l="0" t="0" r="0" b="0"/>
            <wp:docPr id="10503637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071" cy="2397329"/>
                    </a:xfrm>
                    <a:prstGeom prst="rect">
                      <a:avLst/>
                    </a:prstGeom>
                    <a:noFill/>
                    <a:ln>
                      <a:noFill/>
                    </a:ln>
                  </pic:spPr>
                </pic:pic>
              </a:graphicData>
            </a:graphic>
          </wp:inline>
        </w:drawing>
      </w:r>
      <w:r w:rsidRPr="007641BB">
        <w:t xml:space="preserve"> </w:t>
      </w:r>
      <w:r w:rsidRPr="007641BB">
        <w:rPr>
          <w:noProof/>
        </w:rPr>
        <w:drawing>
          <wp:inline distT="0" distB="0" distL="0" distR="0" wp14:anchorId="3A694686" wp14:editId="535977B3">
            <wp:extent cx="2665124" cy="2389195"/>
            <wp:effectExtent l="0" t="0" r="0" b="0"/>
            <wp:docPr id="2013367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393" cy="2399297"/>
                    </a:xfrm>
                    <a:prstGeom prst="rect">
                      <a:avLst/>
                    </a:prstGeom>
                    <a:noFill/>
                    <a:ln>
                      <a:noFill/>
                    </a:ln>
                  </pic:spPr>
                </pic:pic>
              </a:graphicData>
            </a:graphic>
          </wp:inline>
        </w:drawing>
      </w:r>
    </w:p>
    <w:p w14:paraId="734BC06E" w14:textId="68FCE4C5" w:rsidR="00300938" w:rsidRDefault="00784798" w:rsidP="004E0CA0">
      <w:r>
        <w:t>Despite the political conflict</w:t>
      </w:r>
      <w:r w:rsidR="002C6C3E">
        <w:t xml:space="preserve">, the investment markets are looking </w:t>
      </w:r>
      <w:r w:rsidR="00024249">
        <w:t>solid underpinned by c</w:t>
      </w:r>
      <w:r w:rsidR="002C6C3E">
        <w:t>ompany</w:t>
      </w:r>
      <w:r>
        <w:t xml:space="preserve"> </w:t>
      </w:r>
      <w:r w:rsidR="00024249">
        <w:t xml:space="preserve">reporting season which was mostly positive and </w:t>
      </w:r>
      <w:r w:rsidR="00DB4D4C">
        <w:t xml:space="preserve">still supportive of longer-term </w:t>
      </w:r>
      <w:r w:rsidR="005C4645">
        <w:t xml:space="preserve">recovery but not without </w:t>
      </w:r>
      <w:r w:rsidR="0046215F">
        <w:t>short-term downside risk</w:t>
      </w:r>
      <w:r w:rsidR="005C4645">
        <w:t xml:space="preserve">. </w:t>
      </w:r>
    </w:p>
    <w:p w14:paraId="0FBDDE4B" w14:textId="55212315" w:rsidR="0046215F" w:rsidRDefault="005C4645" w:rsidP="004E0CA0">
      <w:r>
        <w:t xml:space="preserve">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47AB076" w14:textId="4A2F8A2F"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857B6B">
        <w:t>p</w:t>
      </w:r>
      <w:r w:rsidR="00404E3B">
        <w:t xml:space="preserve">roperty </w:t>
      </w:r>
      <w:r w:rsidR="00E3272D">
        <w:t>which is holding back the improving underlying market conditions</w:t>
      </w:r>
      <w:r w:rsidR="00190B5B">
        <w:t xml:space="preserve"> in the region</w:t>
      </w:r>
      <w:r w:rsidR="00E3272D">
        <w:t xml:space="preserve">. </w:t>
      </w:r>
    </w:p>
    <w:p w14:paraId="111575DD" w14:textId="77777777" w:rsidR="00857B6B" w:rsidRDefault="00857B6B" w:rsidP="004E0CA0"/>
    <w:p w14:paraId="2B1C505F" w14:textId="77777777" w:rsidR="00631496" w:rsidRDefault="00631496" w:rsidP="004E0CA0"/>
    <w:p w14:paraId="65FF44B7" w14:textId="77777777" w:rsidR="00631496" w:rsidRDefault="00631496" w:rsidP="004E0CA0"/>
    <w:p w14:paraId="25DC0283" w14:textId="77777777" w:rsidR="00E72E45" w:rsidRDefault="00E72E45" w:rsidP="004E0CA0"/>
    <w:p w14:paraId="496C07CC" w14:textId="77777777" w:rsidR="00961A42" w:rsidRDefault="00961A42" w:rsidP="00B53288">
      <w:pPr>
        <w:rPr>
          <w:b/>
          <w:bCs/>
        </w:rPr>
      </w:pPr>
    </w:p>
    <w:p w14:paraId="0E81BB2C" w14:textId="77777777" w:rsidR="00961A42" w:rsidRDefault="00961A42" w:rsidP="00B53288">
      <w:pPr>
        <w:rPr>
          <w:b/>
          <w:bCs/>
        </w:rPr>
      </w:pPr>
    </w:p>
    <w:p w14:paraId="0E2E95FA" w14:textId="507408C8"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857B6B">
        <w:rPr>
          <w:b/>
          <w:bCs/>
        </w:rPr>
        <w:t>1</w:t>
      </w:r>
      <w:r w:rsidR="00857B6B" w:rsidRPr="00857B6B">
        <w:rPr>
          <w:b/>
          <w:bCs/>
          <w:vertAlign w:val="superscript"/>
        </w:rPr>
        <w:t>st</w:t>
      </w:r>
      <w:r w:rsidR="00857B6B">
        <w:rPr>
          <w:b/>
          <w:bCs/>
        </w:rPr>
        <w:t xml:space="preserve"> </w:t>
      </w:r>
      <w:r w:rsidR="00C945A0">
        <w:rPr>
          <w:b/>
          <w:bCs/>
        </w:rPr>
        <w:t>August</w:t>
      </w:r>
      <w:r w:rsidRPr="004B4415">
        <w:rPr>
          <w:b/>
          <w:bCs/>
        </w:rPr>
        <w:t xml:space="preserve"> 202</w:t>
      </w:r>
      <w:r w:rsidR="00190B5B">
        <w:rPr>
          <w:b/>
          <w:bCs/>
        </w:rPr>
        <w:t>4</w:t>
      </w:r>
      <w:r w:rsidRPr="004B4415">
        <w:rPr>
          <w:b/>
          <w:bCs/>
        </w:rPr>
        <w:t>:</w:t>
      </w:r>
    </w:p>
    <w:p w14:paraId="13295CC7" w14:textId="5E288067" w:rsidR="004104F2" w:rsidRDefault="003C40F3" w:rsidP="00B53288">
      <w:r w:rsidRPr="003C40F3">
        <w:rPr>
          <w:noProof/>
        </w:rPr>
        <w:drawing>
          <wp:inline distT="0" distB="0" distL="0" distR="0" wp14:anchorId="42AF0239" wp14:editId="04F24AB4">
            <wp:extent cx="5410200" cy="1409700"/>
            <wp:effectExtent l="0" t="0" r="0" b="0"/>
            <wp:docPr id="167658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72F8F2EA" w:rsidR="00867438" w:rsidRPr="00055F78" w:rsidRDefault="001308C8" w:rsidP="00055F78">
      <w:pPr>
        <w:jc w:val="center"/>
        <w:rPr>
          <w:sz w:val="18"/>
        </w:rPr>
      </w:pPr>
      <w:r w:rsidRPr="00A70A09">
        <w:rPr>
          <w:sz w:val="18"/>
        </w:rPr>
        <w:t xml:space="preserve">Source data: Lonsec as of </w:t>
      </w:r>
      <w:r w:rsidR="00D528C0">
        <w:rPr>
          <w:sz w:val="18"/>
        </w:rPr>
        <w:t>3</w:t>
      </w:r>
      <w:r w:rsidR="007D1D5E">
        <w:rPr>
          <w:sz w:val="18"/>
        </w:rPr>
        <w:t>1</w:t>
      </w:r>
      <w:r w:rsidR="007D1D5E" w:rsidRPr="007D1D5E">
        <w:rPr>
          <w:sz w:val="18"/>
          <w:vertAlign w:val="superscript"/>
        </w:rPr>
        <w:t>st</w:t>
      </w:r>
      <w:r w:rsidR="007D1D5E">
        <w:rPr>
          <w:sz w:val="18"/>
        </w:rPr>
        <w:t xml:space="preserve"> </w:t>
      </w:r>
      <w:r w:rsidR="009E0E2D">
        <w:rPr>
          <w:sz w:val="18"/>
        </w:rPr>
        <w:t>August</w:t>
      </w:r>
      <w:r w:rsidR="00A001EA">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961A42">
        <w:fldChar w:fldCharType="separate"/>
      </w:r>
      <w:r w:rsidR="00BA2B8F">
        <w:fldChar w:fldCharType="end"/>
      </w:r>
    </w:p>
    <w:p w14:paraId="1DE3D6DE" w14:textId="5503E0C0" w:rsidR="000C7672" w:rsidRDefault="00A23AF0" w:rsidP="00B53288">
      <w:r>
        <w:t>The developed markets a</w:t>
      </w:r>
      <w:r w:rsidR="00365C86">
        <w:t xml:space="preserve">sset classes </w:t>
      </w:r>
      <w:r w:rsidR="00EF6467">
        <w:t>finished</w:t>
      </w:r>
      <w:r w:rsidR="00CE64CE">
        <w:t xml:space="preserve"> </w:t>
      </w:r>
      <w:r w:rsidR="00777F49">
        <w:t>m</w:t>
      </w:r>
      <w:r w:rsidR="00E72E45">
        <w:t>ixed</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higher </w:t>
      </w:r>
      <w:r w:rsidR="00A001EA">
        <w:t xml:space="preserve">at </w:t>
      </w:r>
      <w:r w:rsidR="00311F31">
        <w:t>0.6</w:t>
      </w:r>
      <w:r w:rsidR="00E72E45">
        <w:t>806</w:t>
      </w:r>
      <w:r w:rsidR="00311F31">
        <w:t xml:space="preserve"> </w:t>
      </w:r>
      <w:r>
        <w:t>(</w:t>
      </w:r>
      <w:r w:rsidR="00E72E45">
        <w:t>+4.85</w:t>
      </w:r>
      <w:r>
        <w:t>%)</w:t>
      </w:r>
      <w:r w:rsidR="007F0FC4">
        <w:t xml:space="preserve"> </w:t>
      </w:r>
      <w:r w:rsidR="00E72E45">
        <w:t>for</w:t>
      </w:r>
      <w:r w:rsidR="007F0FC4">
        <w:t xml:space="preserve"> the month which </w:t>
      </w:r>
      <w:r w:rsidR="00E72E45">
        <w:t>hurt</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0FCBC8EE" w:rsidR="00EA4358" w:rsidRDefault="00E72E45" w:rsidP="00A001EA">
      <w:pPr>
        <w:jc w:val="center"/>
      </w:pPr>
      <w:r w:rsidRPr="00E72E45">
        <w:rPr>
          <w:noProof/>
        </w:rPr>
        <w:drawing>
          <wp:inline distT="0" distB="0" distL="0" distR="0" wp14:anchorId="164A9EF2" wp14:editId="5160223F">
            <wp:extent cx="5731510" cy="3514725"/>
            <wp:effectExtent l="0" t="0" r="2540" b="9525"/>
            <wp:docPr id="805549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4F173F3B" w14:textId="19EE3299"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4361BB">
        <w:rPr>
          <w:sz w:val="16"/>
          <w:szCs w:val="16"/>
        </w:rPr>
        <w:t>1</w:t>
      </w:r>
      <w:r w:rsidR="004361BB" w:rsidRPr="004361BB">
        <w:rPr>
          <w:sz w:val="16"/>
          <w:szCs w:val="16"/>
          <w:vertAlign w:val="superscript"/>
        </w:rPr>
        <w:t>st</w:t>
      </w:r>
      <w:r w:rsidR="004361BB">
        <w:rPr>
          <w:sz w:val="16"/>
          <w:szCs w:val="16"/>
        </w:rPr>
        <w:t xml:space="preserve"> </w:t>
      </w:r>
      <w:r w:rsidR="007A42A7">
        <w:rPr>
          <w:sz w:val="16"/>
          <w:szCs w:val="16"/>
        </w:rPr>
        <w:t>August</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439C9DF5"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7E73A51E"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074A1A">
        <w:t xml:space="preserve">wait for the interest rate markets to </w:t>
      </w:r>
      <w:r w:rsidR="00E72E45">
        <w:t>ease</w:t>
      </w:r>
      <w:r w:rsidR="00074A1A">
        <w:t>. 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854E2E">
        <w:t>,</w:t>
      </w:r>
      <w:r w:rsidR="00B02125">
        <w:t xml:space="preserve"> despite the </w:t>
      </w:r>
      <w:r w:rsidR="002627B9">
        <w:t xml:space="preserve">European and </w:t>
      </w:r>
      <w:r w:rsidR="001E16AE">
        <w:t xml:space="preserve">middle east conflict. </w:t>
      </w:r>
      <w:r w:rsidR="00854E2E">
        <w:t xml:space="preserve">The recent </w:t>
      </w:r>
      <w:r w:rsidR="00854E2E" w:rsidRPr="008E5840">
        <w:rPr>
          <w:color w:val="auto"/>
        </w:rPr>
        <w:t xml:space="preserve">US year-on-year inflation </w:t>
      </w:r>
      <w:r w:rsidR="00854E2E" w:rsidRPr="008E5840">
        <w:rPr>
          <w:color w:val="auto"/>
        </w:rPr>
        <w:lastRenderedPageBreak/>
        <w:t>numbers (</w:t>
      </w:r>
      <w:r w:rsidR="00854E2E">
        <w:rPr>
          <w:color w:val="auto"/>
        </w:rPr>
        <w:t>+</w:t>
      </w:r>
      <w:r w:rsidR="00854E2E" w:rsidRPr="008E5840">
        <w:rPr>
          <w:color w:val="auto"/>
        </w:rPr>
        <w:t>2.</w:t>
      </w:r>
      <w:r w:rsidR="00E72E45">
        <w:rPr>
          <w:color w:val="auto"/>
        </w:rPr>
        <w:t>5</w:t>
      </w:r>
      <w:r w:rsidR="00854E2E" w:rsidRPr="008E5840">
        <w:rPr>
          <w:color w:val="auto"/>
        </w:rPr>
        <w:t xml:space="preserve">% in </w:t>
      </w:r>
      <w:r w:rsidR="00E72E45">
        <w:rPr>
          <w:color w:val="auto"/>
        </w:rPr>
        <w:t>August</w:t>
      </w:r>
      <w:r w:rsidR="00854E2E" w:rsidRPr="008E5840">
        <w:rPr>
          <w:color w:val="auto"/>
        </w:rPr>
        <w:t xml:space="preserve"> 2024 from </w:t>
      </w:r>
      <w:r w:rsidR="00854E2E">
        <w:rPr>
          <w:color w:val="auto"/>
        </w:rPr>
        <w:t>+</w:t>
      </w:r>
      <w:r w:rsidR="00E72E45">
        <w:rPr>
          <w:color w:val="auto"/>
        </w:rPr>
        <w:t>2.9</w:t>
      </w:r>
      <w:r w:rsidR="00854E2E" w:rsidRPr="008E5840">
        <w:rPr>
          <w:color w:val="auto"/>
        </w:rPr>
        <w:t>% in Ju</w:t>
      </w:r>
      <w:r w:rsidR="00E72E45">
        <w:rPr>
          <w:color w:val="auto"/>
        </w:rPr>
        <w:t>ly</w:t>
      </w:r>
      <w:r w:rsidR="00854E2E" w:rsidRPr="008E5840">
        <w:rPr>
          <w:color w:val="auto"/>
        </w:rPr>
        <w:t xml:space="preserve"> 2024)</w:t>
      </w:r>
      <w:r w:rsidR="00E7618A" w:rsidRPr="008E5840">
        <w:rPr>
          <w:color w:val="auto"/>
        </w:rPr>
        <w:t xml:space="preserve"> </w:t>
      </w:r>
      <w:r w:rsidR="00074A1A">
        <w:t xml:space="preserve">are supportive of the </w:t>
      </w:r>
      <w:r w:rsidR="00984AC0">
        <w:t>longer-term</w:t>
      </w:r>
      <w:r w:rsidR="00074A1A">
        <w:t xml:space="preserve"> expectations </w:t>
      </w:r>
      <w:r w:rsidR="00497862">
        <w:t xml:space="preserve">along with the </w:t>
      </w:r>
      <w:r w:rsidR="00074A1A">
        <w:t xml:space="preserve">month-on-month numbers </w:t>
      </w:r>
      <w:r w:rsidR="00984AC0">
        <w:t>(</w:t>
      </w:r>
      <w:r w:rsidR="00E72E45">
        <w:t>+1</w:t>
      </w:r>
      <w:r w:rsidR="00A001EA">
        <w:t>.</w:t>
      </w:r>
      <w:r w:rsidR="00854E2E">
        <w:t>0</w:t>
      </w:r>
      <w:r w:rsidR="00497862">
        <w:t>%</w:t>
      </w:r>
      <w:r w:rsidR="00984AC0">
        <w:t>)</w:t>
      </w:r>
      <w:r w:rsidR="00074A1A">
        <w:t xml:space="preserve"> in </w:t>
      </w:r>
      <w:r w:rsidR="00E72E45">
        <w:t>Q2 of</w:t>
      </w:r>
      <w:r w:rsidR="00497862">
        <w:t xml:space="preserve"> 2024</w:t>
      </w:r>
      <w:r w:rsidR="00E7618A">
        <w:t>,</w:t>
      </w:r>
      <w:r w:rsidR="00497862">
        <w:t xml:space="preserve"> will</w:t>
      </w:r>
      <w:r w:rsidR="003B1467">
        <w:t xml:space="preserve"> </w:t>
      </w:r>
      <w:r w:rsidR="00497862">
        <w:t xml:space="preserve">not impact </w:t>
      </w:r>
      <w:r w:rsidR="003B1467">
        <w:t xml:space="preserve">the risk appetite </w:t>
      </w:r>
      <w:r w:rsidR="00497862">
        <w:t xml:space="preserve">of investors </w:t>
      </w:r>
      <w:r w:rsidR="003B1467">
        <w:t xml:space="preserve">given inflation is </w:t>
      </w:r>
      <w:r w:rsidR="00A001EA">
        <w:t>slowly easing</w:t>
      </w:r>
      <w:r w:rsidR="00497862">
        <w:t>.</w:t>
      </w:r>
    </w:p>
    <w:p w14:paraId="0AEB38DD" w14:textId="0EF52735"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which is showing signs of recovery </w:t>
      </w:r>
      <w:r w:rsidR="004361BB">
        <w:t xml:space="preserve">post </w:t>
      </w:r>
      <w:r w:rsidR="003B1467" w:rsidRPr="003B1467">
        <w:t>June 30</w:t>
      </w:r>
      <w:r w:rsidR="004361BB">
        <w:t xml:space="preserve">, </w:t>
      </w:r>
      <w:r w:rsidR="00E72E45">
        <w:t>2024, valuation reporting</w:t>
      </w:r>
      <w:r w:rsidR="003B1467" w:rsidRPr="003B1467">
        <w:t>.</w:t>
      </w:r>
    </w:p>
    <w:p w14:paraId="4D2D3182" w14:textId="6381FB2E"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4361BB" w:rsidRPr="00854E2E">
        <w:rPr>
          <w:b/>
          <w:bCs/>
        </w:rPr>
        <w:t>2.</w:t>
      </w:r>
      <w:r w:rsidR="00816FD5">
        <w:rPr>
          <w:b/>
          <w:bCs/>
        </w:rPr>
        <w:t>3</w:t>
      </w:r>
      <w:r w:rsidR="004361BB" w:rsidRPr="00854E2E">
        <w:rPr>
          <w:b/>
          <w:bCs/>
        </w:rPr>
        <w:t>0</w:t>
      </w:r>
      <w:r w:rsidR="00074A1A" w:rsidRPr="00854E2E">
        <w:rPr>
          <w:b/>
          <w:bCs/>
        </w:rPr>
        <w:t>%</w:t>
      </w:r>
      <w:r w:rsidR="00984AC0" w:rsidRPr="00854E2E">
        <w:rPr>
          <w:b/>
          <w:bCs/>
        </w:rPr>
        <w:t>)</w:t>
      </w:r>
      <w:r w:rsidR="003B1467">
        <w:t xml:space="preserve"> in </w:t>
      </w:r>
      <w:r w:rsidR="004361BB">
        <w:t>Ju</w:t>
      </w:r>
      <w:r w:rsidR="00816FD5">
        <w:t>ly</w:t>
      </w:r>
      <w:r w:rsidR="003B1467">
        <w:t xml:space="preserve"> 2024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24C28791"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16FD5">
        <w:t xml:space="preserve">following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16FD5">
        <w:t>and the expected easing of interest rates in the US.</w:t>
      </w:r>
      <w:r w:rsidR="00816FD5" w:rsidRPr="00816FD5">
        <w:t xml:space="preserve"> </w:t>
      </w:r>
    </w:p>
    <w:p w14:paraId="024D1376" w14:textId="2F6F68CC"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871E3D">
        <w:t>May</w:t>
      </w:r>
      <w:r w:rsidR="007C64CC">
        <w:t xml:space="preserve"> 202</w:t>
      </w:r>
      <w:r w:rsidR="00984AC0">
        <w:t>5</w:t>
      </w:r>
      <w:r w:rsidR="007C64CC">
        <w:t>.</w:t>
      </w:r>
      <w:r>
        <w:t xml:space="preserve"> </w:t>
      </w:r>
    </w:p>
    <w:p w14:paraId="6F8EECA2" w14:textId="312FA26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CF156A">
        <w:rPr>
          <w:b/>
          <w:bCs/>
        </w:rPr>
        <w:t>1</w:t>
      </w:r>
      <w:r w:rsidR="00CF156A" w:rsidRPr="00CF156A">
        <w:rPr>
          <w:b/>
          <w:bCs/>
          <w:vertAlign w:val="superscript"/>
        </w:rPr>
        <w:t>st</w:t>
      </w:r>
      <w:r w:rsidR="00CF156A">
        <w:rPr>
          <w:b/>
          <w:bCs/>
        </w:rPr>
        <w:t xml:space="preserve"> </w:t>
      </w:r>
      <w:r w:rsidR="00B752EF">
        <w:rPr>
          <w:b/>
          <w:bCs/>
        </w:rPr>
        <w:t>August</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38094963" w:rsidR="00B02125" w:rsidRDefault="007B239A" w:rsidP="009E7EF6">
      <w:pPr>
        <w:spacing w:before="120" w:after="120" w:line="240" w:lineRule="auto"/>
      </w:pPr>
      <w:r w:rsidRPr="00F90325">
        <w:t xml:space="preserve">Global </w:t>
      </w:r>
      <w:r w:rsidR="00F82AE9">
        <w:t xml:space="preserve">markets </w:t>
      </w:r>
      <w:r w:rsidR="00FA390E">
        <w:t xml:space="preserve">over </w:t>
      </w:r>
      <w:r w:rsidR="00B752EF">
        <w:t xml:space="preserve">August were volatile however, at the end of the month, there were no big gains or losses apart from the currency moves. </w:t>
      </w:r>
      <w:r w:rsidR="00200F95">
        <w:t xml:space="preserve">Central Banks </w:t>
      </w:r>
      <w:r w:rsidR="001B3379">
        <w:t xml:space="preserve">held their cash rates </w:t>
      </w:r>
      <w:r w:rsidR="00B752EF">
        <w:t xml:space="preserve">steady </w:t>
      </w:r>
      <w:r w:rsidR="001B3379">
        <w:t xml:space="preserve">after several initiated easing programmes for </w:t>
      </w:r>
      <w:r w:rsidR="00200F95">
        <w:t>their target cash rates to encourage their economic growth prospects. D</w:t>
      </w:r>
      <w:r w:rsidR="00B02125">
        <w:t xml:space="preserve">ebt markets </w:t>
      </w:r>
      <w:r w:rsidR="00200F95">
        <w:t xml:space="preserve">rallied </w:t>
      </w:r>
      <w:r w:rsidR="001F4978">
        <w:t>h</w:t>
      </w:r>
      <w:r w:rsidR="00200F95">
        <w:t xml:space="preserve">owever, </w:t>
      </w:r>
      <w:r w:rsidR="001F4978">
        <w:t xml:space="preserve">with conviction </w:t>
      </w:r>
      <w:r w:rsidR="00B752EF">
        <w:t xml:space="preserve">factoring in the easing programme expected to </w:t>
      </w:r>
      <w:r w:rsidR="00B752EF" w:rsidRPr="00B752EF">
        <w:rPr>
          <w:b/>
          <w:bCs/>
        </w:rPr>
        <w:t>slowly re-enforce growth prospects</w:t>
      </w:r>
      <w:r w:rsidR="00B752EF">
        <w:t xml:space="preserve"> for the global economy.</w:t>
      </w:r>
      <w:r w:rsidR="00B02125">
        <w:t xml:space="preserve"> </w:t>
      </w:r>
    </w:p>
    <w:p w14:paraId="4D1ADF38" w14:textId="07472D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7E21AEB3" w:rsidR="00CC2CB7" w:rsidRDefault="00E52572" w:rsidP="00CC2CB7">
      <w:pPr>
        <w:spacing w:before="0" w:after="0"/>
      </w:pPr>
      <w:bookmarkStart w:id="2"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606D43">
        <w:t>30/31</w:t>
      </w:r>
      <w:r w:rsidR="00606D43" w:rsidRPr="00606D43">
        <w:rPr>
          <w:vertAlign w:val="superscript"/>
        </w:rPr>
        <w:t>st</w:t>
      </w:r>
      <w:r w:rsidR="00606D43">
        <w:t xml:space="preserve"> July</w:t>
      </w:r>
      <w:r w:rsidR="00A672C2">
        <w:t xml:space="preserve"> 2</w:t>
      </w:r>
      <w:r>
        <w:t>02</w:t>
      </w:r>
      <w:r w:rsidR="00FC10EC">
        <w:t>4</w:t>
      </w:r>
      <w:r>
        <w:t xml:space="preserve"> FOMC meeting</w:t>
      </w:r>
      <w:r w:rsidR="00CC2CB7">
        <w:t>:</w:t>
      </w:r>
    </w:p>
    <w:p w14:paraId="734C6AEF" w14:textId="77777777" w:rsidR="00606D43" w:rsidRPr="00606D43" w:rsidRDefault="00CC2CB7" w:rsidP="00606D43">
      <w:pPr>
        <w:spacing w:before="0" w:after="0"/>
        <w:ind w:left="720"/>
        <w:rPr>
          <w:i/>
          <w:iCs/>
        </w:rPr>
      </w:pPr>
      <w:r w:rsidRPr="00CC2CB7">
        <w:rPr>
          <w:i/>
          <w:iCs/>
        </w:rPr>
        <w:t>“</w:t>
      </w:r>
      <w:r w:rsidR="00606D43" w:rsidRPr="00606D43">
        <w:rPr>
          <w:i/>
          <w:iCs/>
        </w:rPr>
        <w:t>The Committee seeks to achieve maximum employment and inflation at the rate of</w:t>
      </w:r>
    </w:p>
    <w:p w14:paraId="0D143164" w14:textId="2BA60AA3" w:rsidR="00A9793C" w:rsidRDefault="00606D43" w:rsidP="00606D43">
      <w:pPr>
        <w:spacing w:before="0" w:after="0"/>
        <w:ind w:left="720"/>
        <w:rPr>
          <w:i/>
          <w:iCs/>
        </w:rPr>
      </w:pPr>
      <w:r w:rsidRPr="00606D43">
        <w:rPr>
          <w:i/>
          <w:iCs/>
        </w:rPr>
        <w:t>2 percent over the longer run. The Committee judges that the risks to achieving its employment</w:t>
      </w:r>
      <w:r>
        <w:rPr>
          <w:i/>
          <w:iCs/>
        </w:rPr>
        <w:t xml:space="preserve"> </w:t>
      </w:r>
      <w:r w:rsidRPr="00606D43">
        <w:rPr>
          <w:i/>
          <w:iCs/>
        </w:rPr>
        <w:t>and inflation goals continue to move into better balance. The economic outlook is uncertain, and</w:t>
      </w:r>
      <w:r>
        <w:rPr>
          <w:i/>
          <w:iCs/>
        </w:rPr>
        <w:t xml:space="preserve"> </w:t>
      </w:r>
      <w:r w:rsidRPr="00606D43">
        <w:rPr>
          <w:i/>
          <w:iCs/>
        </w:rPr>
        <w:t>the Committee is attentive to the risks to both sides of its dual mandate</w:t>
      </w:r>
      <w:r w:rsidR="00854E2E">
        <w:rPr>
          <w:i/>
          <w:iCs/>
        </w:rPr>
        <w:t>.”</w:t>
      </w:r>
      <w:r w:rsidR="00A9793C" w:rsidRPr="00A9793C">
        <w:rPr>
          <w:i/>
          <w:iCs/>
        </w:rPr>
        <w:t xml:space="preserve"> </w:t>
      </w:r>
    </w:p>
    <w:p w14:paraId="059FCA8D" w14:textId="3D7CAABC" w:rsidR="00A9793C" w:rsidRDefault="00A9793C" w:rsidP="00F7687B">
      <w:pPr>
        <w:spacing w:before="0" w:after="0"/>
        <w:ind w:left="720"/>
        <w:rPr>
          <w:i/>
          <w:iCs/>
        </w:rPr>
      </w:pPr>
      <w:r w:rsidRPr="00A9793C">
        <w:rPr>
          <w:i/>
          <w:iCs/>
        </w:rPr>
        <w:t xml:space="preserve">(Source: Federal Reserve Press Release </w:t>
      </w:r>
      <w:r>
        <w:rPr>
          <w:i/>
          <w:iCs/>
        </w:rPr>
        <w:t>Ju</w:t>
      </w:r>
      <w:r w:rsidR="00606D43">
        <w:rPr>
          <w:i/>
          <w:iCs/>
        </w:rPr>
        <w:t>ly</w:t>
      </w:r>
      <w:r w:rsidRPr="00A9793C">
        <w:rPr>
          <w:i/>
          <w:iCs/>
        </w:rPr>
        <w:t xml:space="preserve"> </w:t>
      </w:r>
      <w:r w:rsidR="00606D43">
        <w:rPr>
          <w:i/>
          <w:iCs/>
        </w:rPr>
        <w:t>31</w:t>
      </w:r>
      <w:r w:rsidRPr="00A9793C">
        <w:rPr>
          <w:i/>
          <w:iCs/>
        </w:rPr>
        <w:t>, 2024).</w:t>
      </w:r>
    </w:p>
    <w:p w14:paraId="0F469910" w14:textId="77777777" w:rsidR="00A9793C" w:rsidRDefault="00A9793C" w:rsidP="00FC10EC">
      <w:pPr>
        <w:spacing w:before="0" w:after="0"/>
        <w:ind w:left="720"/>
        <w:rPr>
          <w:i/>
          <w:iCs/>
        </w:rPr>
      </w:pPr>
    </w:p>
    <w:p w14:paraId="0462C83D" w14:textId="5992B350" w:rsidR="00A672C2" w:rsidRPr="00A9793C" w:rsidRDefault="00A9793C" w:rsidP="00FC10EC">
      <w:pPr>
        <w:spacing w:before="0" w:after="0"/>
        <w:ind w:left="720"/>
        <w:rPr>
          <w:rFonts w:ascii="Calibri" w:hAnsi="Calibri" w:cs="Calibri"/>
          <w:color w:val="222222"/>
          <w:sz w:val="24"/>
          <w:szCs w:val="24"/>
          <w:shd w:val="clear" w:color="auto" w:fill="FFFFFF"/>
        </w:rPr>
      </w:pPr>
      <w:r w:rsidRPr="00A9793C">
        <w:lastRenderedPageBreak/>
        <w:t xml:space="preserve">As mentioned in the </w:t>
      </w:r>
      <w:r w:rsidR="006B0EF6">
        <w:t>June</w:t>
      </w:r>
      <w:r w:rsidRPr="00A9793C">
        <w:t xml:space="preserve"> 2024  statement,</w:t>
      </w:r>
      <w:r w:rsidR="00F7687B" w:rsidRPr="00A9793C">
        <w:t xml:space="preserve"> the Committee will continue reducing its holdings of </w:t>
      </w:r>
      <w:r w:rsidR="00F7687B" w:rsidRPr="00A9793C">
        <w:rPr>
          <w:b/>
          <w:bCs/>
        </w:rPr>
        <w:t>Treasury securities and agency debt and agency mortgage</w:t>
      </w:r>
      <w:r w:rsidR="00F7687B" w:rsidRPr="00A9793C">
        <w:rPr>
          <w:rFonts w:ascii="Cambria Math" w:hAnsi="Cambria Math" w:cs="Cambria Math"/>
          <w:b/>
          <w:bCs/>
        </w:rPr>
        <w:t>‑</w:t>
      </w:r>
      <w:r w:rsidR="00F7687B" w:rsidRPr="00A9793C">
        <w:rPr>
          <w:b/>
          <w:bCs/>
        </w:rPr>
        <w:t>backed securities</w:t>
      </w:r>
      <w:r w:rsidR="00F7687B" w:rsidRPr="00A9793C">
        <w:t xml:space="preserve">. </w:t>
      </w:r>
    </w:p>
    <w:bookmarkEnd w:id="2"/>
    <w:p w14:paraId="46234C0C" w14:textId="1692A967" w:rsidR="00DA22F2" w:rsidRPr="00DA22F2" w:rsidRDefault="00DA22F2" w:rsidP="00DA22F2">
      <w:pPr>
        <w:rPr>
          <w:rFonts w:cs="Calibri"/>
          <w:color w:val="222222"/>
          <w:sz w:val="24"/>
          <w:szCs w:val="24"/>
          <w:shd w:val="clear" w:color="auto" w:fill="FFFFFF"/>
        </w:rPr>
      </w:pPr>
      <w:r w:rsidRPr="00377E57">
        <w:rPr>
          <w:rFonts w:cs="Calibri"/>
          <w:color w:val="222222"/>
          <w:sz w:val="24"/>
          <w:szCs w:val="24"/>
          <w:shd w:val="clear" w:color="auto" w:fill="FFFFFF"/>
        </w:rPr>
        <w:t>The next Fed meeting is scheduled for</w:t>
      </w:r>
      <w:r w:rsidRPr="00DA22F2">
        <w:rPr>
          <w:rFonts w:cs="Calibri"/>
          <w:b/>
          <w:bCs/>
          <w:color w:val="222222"/>
          <w:sz w:val="24"/>
          <w:szCs w:val="24"/>
          <w:shd w:val="clear" w:color="auto" w:fill="FFFFFF"/>
        </w:rPr>
        <w:t xml:space="preserve"> </w:t>
      </w:r>
      <w:r w:rsidR="006B0EF6">
        <w:rPr>
          <w:rFonts w:cs="Calibri"/>
          <w:b/>
          <w:bCs/>
          <w:color w:val="222222"/>
          <w:sz w:val="24"/>
          <w:szCs w:val="24"/>
          <w:shd w:val="clear" w:color="auto" w:fill="FFFFFF"/>
        </w:rPr>
        <w:t>17/18 September</w:t>
      </w:r>
      <w:r w:rsidR="00D44598">
        <w:rPr>
          <w:rFonts w:cs="Calibri"/>
          <w:b/>
          <w:bCs/>
          <w:color w:val="222222"/>
          <w:sz w:val="24"/>
          <w:szCs w:val="24"/>
          <w:shd w:val="clear" w:color="auto" w:fill="FFFFFF"/>
        </w:rPr>
        <w:t xml:space="preserve"> 2024</w:t>
      </w:r>
      <w:r w:rsidR="00854E2E">
        <w:rPr>
          <w:rFonts w:cs="Calibri"/>
          <w:b/>
          <w:bCs/>
          <w:color w:val="222222"/>
          <w:sz w:val="24"/>
          <w:szCs w:val="24"/>
          <w:shd w:val="clear" w:color="auto" w:fill="FFFFFF"/>
        </w:rPr>
        <w:t xml:space="preserve"> </w:t>
      </w:r>
      <w:r w:rsidR="00854E2E" w:rsidRPr="00854E2E">
        <w:rPr>
          <w:rFonts w:cs="Calibri"/>
          <w:color w:val="222222"/>
          <w:sz w:val="24"/>
          <w:szCs w:val="24"/>
          <w:shd w:val="clear" w:color="auto" w:fill="FFFFFF"/>
        </w:rPr>
        <w:t xml:space="preserve">(just before the </w:t>
      </w:r>
      <w:r w:rsidR="00B752EF">
        <w:rPr>
          <w:rFonts w:cs="Calibri"/>
          <w:color w:val="222222"/>
          <w:sz w:val="24"/>
          <w:szCs w:val="24"/>
          <w:shd w:val="clear" w:color="auto" w:fill="FFFFFF"/>
        </w:rPr>
        <w:t xml:space="preserve">November 5, </w:t>
      </w:r>
      <w:r w:rsidR="00854E2E" w:rsidRPr="00854E2E">
        <w:rPr>
          <w:rFonts w:cs="Calibri"/>
          <w:color w:val="222222"/>
          <w:sz w:val="24"/>
          <w:szCs w:val="24"/>
          <w:shd w:val="clear" w:color="auto" w:fill="FFFFFF"/>
        </w:rPr>
        <w:t>elections)</w:t>
      </w:r>
      <w:r w:rsidRPr="00DA22F2">
        <w:rPr>
          <w:rFonts w:cs="Calibri"/>
          <w:color w:val="222222"/>
          <w:sz w:val="24"/>
          <w:szCs w:val="24"/>
          <w:shd w:val="clear" w:color="auto" w:fill="FFFFFF"/>
        </w:rPr>
        <w:t xml:space="preserve">. </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04924FB5" w:rsidR="00C52E4A" w:rsidRDefault="00382D5C" w:rsidP="003C40F3">
      <w:pPr>
        <w:pStyle w:val="ListParagraph"/>
        <w:numPr>
          <w:ilvl w:val="0"/>
          <w:numId w:val="6"/>
        </w:numPr>
        <w:spacing w:before="0" w:after="0" w:line="276" w:lineRule="auto"/>
        <w:ind w:left="357" w:hanging="357"/>
      </w:pPr>
      <w:r>
        <w:rPr>
          <w:b/>
          <w:bCs/>
        </w:rPr>
        <w:t>Easing commodity prices and the impact on company profits</w:t>
      </w:r>
    </w:p>
    <w:p w14:paraId="78654FD1" w14:textId="73FF2CF2"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72D4FB61" w14:textId="4A245AFC"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t xml:space="preserve">remains </w:t>
      </w:r>
      <w:r w:rsidR="00382D5C">
        <w:t>high at 3.8</w:t>
      </w:r>
      <w:r>
        <w:t xml:space="preserve">% </w:t>
      </w:r>
      <w:r w:rsidR="008F3798">
        <w:t xml:space="preserve">up </w:t>
      </w:r>
      <w:r>
        <w:t xml:space="preserve">from </w:t>
      </w:r>
      <w:r w:rsidR="008F3798">
        <w:t>3.6</w:t>
      </w:r>
      <w:r>
        <w:t xml:space="preserve">% in the </w:t>
      </w:r>
      <w:r w:rsidR="00382D5C">
        <w:t>second</w:t>
      </w:r>
      <w:r>
        <w:t xml:space="preserve"> quarter of 202</w:t>
      </w:r>
      <w:r w:rsidR="008F3798">
        <w:t>4</w:t>
      </w:r>
      <w:r>
        <w:t xml:space="preserve"> which </w:t>
      </w:r>
      <w:r w:rsidR="008F3798">
        <w:t>is not</w:t>
      </w:r>
      <w:r>
        <w:t xml:space="preserve"> heading in the right direction, infers </w:t>
      </w:r>
      <w:r w:rsidRPr="00BF1CFC">
        <w:rPr>
          <w:b/>
          <w:bCs/>
        </w:rPr>
        <w:t>higher interest rates for longer</w:t>
      </w:r>
      <w:r>
        <w:t>.</w:t>
      </w:r>
    </w:p>
    <w:p w14:paraId="6E09E404" w14:textId="27326496" w:rsidR="00711DF0" w:rsidRDefault="00220A49" w:rsidP="003C40F3">
      <w:pPr>
        <w:pStyle w:val="ListParagraph"/>
        <w:numPr>
          <w:ilvl w:val="0"/>
          <w:numId w:val="6"/>
        </w:numPr>
        <w:spacing w:before="0" w:after="0" w:line="276" w:lineRule="auto"/>
        <w:ind w:left="357" w:hanging="357"/>
      </w:pPr>
      <w:r w:rsidRPr="00A87065">
        <w:rPr>
          <w:b/>
          <w:bCs/>
        </w:rPr>
        <w:t>China growth prospects</w:t>
      </w:r>
      <w:r>
        <w:t xml:space="preserve"> –</w:t>
      </w:r>
      <w:r w:rsidR="00A87065" w:rsidRPr="00A87065">
        <w:t xml:space="preserve"> The consensus forecast for Chinese growth next year is about 4.5%. China’s policymakers might accept this as the new normal for the economy, just as they accepted the slowdown after 2012.</w:t>
      </w:r>
      <w:r w:rsidR="00A87065">
        <w:t xml:space="preserve"> </w:t>
      </w:r>
      <w:r w:rsidR="0005073D">
        <w:t>T</w:t>
      </w:r>
      <w:r w:rsidR="009E18CB">
        <w:t xml:space="preserve">he </w:t>
      </w:r>
      <w:r>
        <w:t xml:space="preserve">GDP </w:t>
      </w:r>
      <w:r w:rsidR="00301330">
        <w:t xml:space="preserve">annual </w:t>
      </w:r>
      <w:r>
        <w:t xml:space="preserve">growth rate </w:t>
      </w:r>
      <w:r w:rsidR="001B3379">
        <w:t>Y-O-Y eased to 4.7</w:t>
      </w:r>
      <w:r>
        <w:t xml:space="preserve">% </w:t>
      </w:r>
      <w:r w:rsidR="009C2C4E">
        <w:t xml:space="preserve">in </w:t>
      </w:r>
      <w:r w:rsidR="001B3379">
        <w:t>June</w:t>
      </w:r>
      <w:r w:rsidR="00617146">
        <w:t xml:space="preserve"> 202</w:t>
      </w:r>
      <w:r w:rsidR="008261BB">
        <w:t>4</w:t>
      </w:r>
      <w:r w:rsidR="00617146">
        <w:t xml:space="preserve"> </w:t>
      </w:r>
      <w:r w:rsidR="000F5F52">
        <w:t>down</w:t>
      </w:r>
      <w:r>
        <w:t xml:space="preserve"> from </w:t>
      </w:r>
      <w:r w:rsidR="008261BB">
        <w:t>5</w:t>
      </w:r>
      <w:r w:rsidR="009E18CB">
        <w:t>.</w:t>
      </w:r>
      <w:r w:rsidR="000F5F52">
        <w:t>3</w:t>
      </w:r>
      <w:r>
        <w:t>%</w:t>
      </w:r>
      <w:r w:rsidR="009C2C4E">
        <w:t xml:space="preserve"> previously.</w:t>
      </w:r>
      <w:r>
        <w:t xml:space="preserve"> </w:t>
      </w:r>
      <w:r w:rsidR="006820B4">
        <w:t>Let us</w:t>
      </w:r>
      <w:r w:rsidR="00A87065">
        <w:t xml:space="preserve"> hope the economy can </w:t>
      </w:r>
      <w:r w:rsidR="000F5F52">
        <w:t xml:space="preserve">recover quickly from </w:t>
      </w:r>
      <w:r w:rsidR="00A87065">
        <w:t>this level.</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510577FD" w:rsidR="00A16C57" w:rsidRDefault="00382D5C" w:rsidP="00A16C57">
      <w:pPr>
        <w:jc w:val="center"/>
      </w:pPr>
      <w:r w:rsidRPr="00382D5C">
        <w:rPr>
          <w:noProof/>
        </w:rPr>
        <w:drawing>
          <wp:inline distT="0" distB="0" distL="0" distR="0" wp14:anchorId="381CDF49" wp14:editId="5BEAC09D">
            <wp:extent cx="3921217" cy="3133725"/>
            <wp:effectExtent l="0" t="0" r="3175" b="0"/>
            <wp:docPr id="4199999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4868" cy="3144635"/>
                    </a:xfrm>
                    <a:prstGeom prst="rect">
                      <a:avLst/>
                    </a:prstGeom>
                    <a:noFill/>
                    <a:ln>
                      <a:noFill/>
                    </a:ln>
                  </pic:spPr>
                </pic:pic>
              </a:graphicData>
            </a:graphic>
          </wp:inline>
        </w:drawing>
      </w:r>
    </w:p>
    <w:p w14:paraId="65003F17" w14:textId="42CB2988"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3" w:name="_Hlk535352886"/>
      <w:r w:rsidR="00516171">
        <w:rPr>
          <w:sz w:val="18"/>
        </w:rPr>
        <w:t>3</w:t>
      </w:r>
      <w:r w:rsidR="008F3798">
        <w:rPr>
          <w:sz w:val="18"/>
        </w:rPr>
        <w:t>1</w:t>
      </w:r>
      <w:r w:rsidR="008F3798" w:rsidRPr="008F3798">
        <w:rPr>
          <w:sz w:val="18"/>
          <w:vertAlign w:val="superscript"/>
        </w:rPr>
        <w:t>st</w:t>
      </w:r>
      <w:r w:rsidR="008F3798">
        <w:rPr>
          <w:sz w:val="18"/>
        </w:rPr>
        <w:t xml:space="preserve"> </w:t>
      </w:r>
      <w:r w:rsidR="00382D5C">
        <w:rPr>
          <w:sz w:val="18"/>
        </w:rPr>
        <w:t>August</w:t>
      </w:r>
      <w:r w:rsidR="00711DF0">
        <w:rPr>
          <w:sz w:val="18"/>
        </w:rPr>
        <w:t xml:space="preserve"> 2024</w:t>
      </w:r>
    </w:p>
    <w:bookmarkEnd w:id="3"/>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46DF5995"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5A428D" w:rsidRPr="005A428D">
        <w:rPr>
          <w:b/>
          <w:bCs/>
        </w:rPr>
        <w:t>timing</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382D5C">
        <w:t>were hurt by a strengthen</w:t>
      </w:r>
      <w:r w:rsidR="005738C3">
        <w:t>ing</w:t>
      </w:r>
      <w:r w:rsidR="004B2806">
        <w:t xml:space="preserve"> </w:t>
      </w:r>
      <w:r w:rsidR="00557108">
        <w:t>USD/AUD (0.</w:t>
      </w:r>
      <w:r w:rsidR="00382D5C">
        <w:t>6806</w:t>
      </w:r>
      <w:r w:rsidR="005738C3">
        <w:t xml:space="preserve"> </w:t>
      </w:r>
      <w:r w:rsidR="005A428D">
        <w:t>from</w:t>
      </w:r>
      <w:r w:rsidR="00557108">
        <w:t xml:space="preserve"> 0.6</w:t>
      </w:r>
      <w:r w:rsidR="00382D5C">
        <w:t>491</w:t>
      </w:r>
      <w:r w:rsidR="00557108">
        <w:t xml:space="preserve">) which had </w:t>
      </w:r>
      <w:r w:rsidR="0083662A">
        <w:t>a</w:t>
      </w:r>
      <w:r w:rsidR="00557108">
        <w:t xml:space="preserve"> </w:t>
      </w:r>
      <w:r w:rsidR="00382D5C" w:rsidRPr="00AE1347">
        <w:rPr>
          <w:b/>
          <w:bCs/>
        </w:rPr>
        <w:t>negative</w:t>
      </w:r>
      <w:r w:rsidR="00557108" w:rsidRPr="00AE1347">
        <w:rPr>
          <w:b/>
          <w:bCs/>
        </w:rPr>
        <w:t xml:space="preserve"> impact of </w:t>
      </w:r>
      <w:r w:rsidR="00F65F3F" w:rsidRPr="00AE1347">
        <w:rPr>
          <w:b/>
          <w:bCs/>
        </w:rPr>
        <w:t>(</w:t>
      </w:r>
      <w:r w:rsidR="00382D5C" w:rsidRPr="00AE1347">
        <w:rPr>
          <w:b/>
          <w:bCs/>
        </w:rPr>
        <w:t>-4.85</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5408307B" w14:textId="7A395130" w:rsidR="0078477D" w:rsidRDefault="0078477D" w:rsidP="008A4D67">
      <w:pPr>
        <w:spacing w:before="120"/>
      </w:pPr>
      <w:r>
        <w:t xml:space="preserve">Volatility raised its ugly head </w:t>
      </w:r>
      <w:r w:rsidR="009A2A00">
        <w:t xml:space="preserve">early in August 2024 </w:t>
      </w:r>
      <w:r>
        <w:t xml:space="preserve">which made investors nervous. The volatility was caused by </w:t>
      </w:r>
      <w:r w:rsidR="009A2A00">
        <w:t>several</w:t>
      </w:r>
      <w:r>
        <w:t xml:space="preserve"> factors including the Japanese Yen carry trade mentioned earlier</w:t>
      </w:r>
      <w:r w:rsidR="009A2A00">
        <w:t xml:space="preserve">, renewed </w:t>
      </w:r>
      <w:r>
        <w:t xml:space="preserve">recession </w:t>
      </w:r>
      <w:r w:rsidR="009A2A00">
        <w:t>talks</w:t>
      </w:r>
      <w:r>
        <w:t xml:space="preserve"> and rising unemployment in the US</w:t>
      </w:r>
      <w:r w:rsidR="009A2A00">
        <w:t>.</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1E71E955" w:rsidR="00317447" w:rsidRDefault="00382D5C" w:rsidP="00CC263B">
      <w:pPr>
        <w:jc w:val="center"/>
        <w:rPr>
          <w:sz w:val="18"/>
        </w:rPr>
      </w:pPr>
      <w:r w:rsidRPr="00382D5C">
        <w:rPr>
          <w:noProof/>
          <w:sz w:val="18"/>
        </w:rPr>
        <w:drawing>
          <wp:inline distT="0" distB="0" distL="0" distR="0" wp14:anchorId="6D520E75" wp14:editId="5E0FC7D4">
            <wp:extent cx="4648200" cy="3276600"/>
            <wp:effectExtent l="0" t="0" r="0" b="0"/>
            <wp:docPr id="1488732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4EF7A79E"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9A2A00">
        <w:rPr>
          <w:sz w:val="18"/>
        </w:rPr>
        <w:t>1</w:t>
      </w:r>
      <w:r w:rsidR="009A2A00" w:rsidRPr="009A2A00">
        <w:rPr>
          <w:sz w:val="18"/>
          <w:vertAlign w:val="superscript"/>
        </w:rPr>
        <w:t>st</w:t>
      </w:r>
      <w:r w:rsidR="009A2A00">
        <w:rPr>
          <w:sz w:val="18"/>
        </w:rPr>
        <w:t xml:space="preserve"> </w:t>
      </w:r>
      <w:r w:rsidR="00382D5C">
        <w:rPr>
          <w:sz w:val="18"/>
        </w:rPr>
        <w:t>August</w:t>
      </w:r>
      <w:r>
        <w:rPr>
          <w:sz w:val="18"/>
        </w:rPr>
        <w:t xml:space="preserve"> 202</w:t>
      </w:r>
      <w:r w:rsidR="004C5B3F">
        <w:rPr>
          <w:sz w:val="18"/>
        </w:rPr>
        <w:t>4</w:t>
      </w:r>
    </w:p>
    <w:p w14:paraId="114DA578" w14:textId="05A00C9D"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382D5C">
        <w:t>-1.21</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382D5C">
        <w:t>-1.42</w:t>
      </w:r>
      <w:r w:rsidR="009E7EF6">
        <w:t>%)</w:t>
      </w:r>
      <w:r w:rsidR="00E51A06">
        <w:t xml:space="preserve">, </w:t>
      </w:r>
      <w:r w:rsidR="009E7EF6">
        <w:t>Asia ex Japan (</w:t>
      </w:r>
      <w:r w:rsidR="00111AF6">
        <w:t>+1.48</w:t>
      </w:r>
      <w:r w:rsidR="009E7EF6">
        <w:t>%)</w:t>
      </w:r>
      <w:r w:rsidR="00E51A06">
        <w:t>,</w:t>
      </w:r>
      <w:r w:rsidR="009E7EF6">
        <w:t xml:space="preserve"> Japan (</w:t>
      </w:r>
      <w:r w:rsidR="00111AF6">
        <w:t>-3.27</w:t>
      </w:r>
      <w:r w:rsidR="009E7EF6">
        <w:t>%)</w:t>
      </w:r>
      <w:r w:rsidR="00E51A06">
        <w:t>,</w:t>
      </w:r>
      <w:r w:rsidR="009E7EF6">
        <w:t xml:space="preserve"> the UK (</w:t>
      </w:r>
      <w:r w:rsidR="00111AF6">
        <w:t>-0.</w:t>
      </w:r>
      <w:r w:rsidR="009A2A00">
        <w:t>5</w:t>
      </w:r>
      <w:r w:rsidR="00111AF6">
        <w:t>6</w:t>
      </w:r>
      <w:r w:rsidR="009E7EF6">
        <w:t>%)</w:t>
      </w:r>
      <w:r w:rsidR="00E51A06">
        <w:t>,</w:t>
      </w:r>
      <w:r w:rsidR="009E7EF6">
        <w:t xml:space="preserve"> Europe</w:t>
      </w:r>
      <w:r w:rsidR="00776C10">
        <w:t xml:space="preserve"> </w:t>
      </w:r>
      <w:r w:rsidR="00E51A06">
        <w:t>(</w:t>
      </w:r>
      <w:r w:rsidR="00111AF6">
        <w:t>-0.05</w:t>
      </w:r>
      <w:r w:rsidR="005909DA">
        <w:t>%</w:t>
      </w:r>
      <w:r w:rsidR="00E51A06">
        <w:t xml:space="preserve">) </w:t>
      </w:r>
      <w:r w:rsidR="00776C10">
        <w:t>and</w:t>
      </w:r>
      <w:r w:rsidR="009E7EF6">
        <w:t xml:space="preserve"> </w:t>
      </w:r>
      <w:r w:rsidR="00776C10">
        <w:t>the Emerging Markets</w:t>
      </w:r>
      <w:r w:rsidR="00E51A06">
        <w:t xml:space="preserve"> (</w:t>
      </w:r>
      <w:r w:rsidR="00111AF6">
        <w:t>-2.17</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3BB057AD" w:rsidR="00752610" w:rsidRDefault="00802B2D" w:rsidP="00080677">
      <w:r>
        <w:t xml:space="preserve">Australian </w:t>
      </w:r>
      <w:r w:rsidR="00D019FE">
        <w:t xml:space="preserve">shares </w:t>
      </w:r>
      <w:r w:rsidR="00317447">
        <w:t xml:space="preserve">posted </w:t>
      </w:r>
      <w:r w:rsidR="005738C3">
        <w:t>posi</w:t>
      </w:r>
      <w:r w:rsidR="00937E69">
        <w:t>t</w:t>
      </w:r>
      <w:r w:rsidR="00D87293">
        <w:t>ive</w:t>
      </w:r>
      <w:r w:rsidR="009D2BC7">
        <w:t xml:space="preserve"> returns </w:t>
      </w:r>
      <w:r w:rsidR="005738C3">
        <w:t xml:space="preserve">however, impacted by </w:t>
      </w:r>
      <w:r w:rsidR="00937E69">
        <w:t>soft</w:t>
      </w:r>
      <w:r w:rsidR="00D87293">
        <w:t xml:space="preserve"> </w:t>
      </w:r>
      <w:r w:rsidR="001C431B">
        <w:t xml:space="preserve">commodity prices and slowing </w:t>
      </w:r>
      <w:r w:rsidR="00D87293">
        <w:t>economic conditions</w:t>
      </w:r>
      <w:r w:rsidR="009D2BC7">
        <w:t xml:space="preserve">. </w:t>
      </w:r>
      <w:r w:rsidR="009D26B6">
        <w:t>Sh</w:t>
      </w:r>
      <w:r w:rsidR="00965252">
        <w:t xml:space="preserve">ares </w:t>
      </w:r>
      <w:r w:rsidR="00EF6467">
        <w:t>finished</w:t>
      </w:r>
      <w:r w:rsidR="009D26B6">
        <w:t xml:space="preserve"> </w:t>
      </w:r>
      <w:r w:rsidR="000E3566">
        <w:t>(</w:t>
      </w:r>
      <w:r w:rsidR="005738C3">
        <w:t>+</w:t>
      </w:r>
      <w:r w:rsidR="00AE1347">
        <w:t>0.47</w:t>
      </w:r>
      <w:r w:rsidR="000E3566">
        <w:t>%) for the month</w:t>
      </w:r>
      <w:r w:rsidR="0089710F">
        <w:t xml:space="preserve"> and (</w:t>
      </w:r>
      <w:r w:rsidR="00AE1347">
        <w:t>+5.74</w:t>
      </w:r>
      <w:r w:rsidR="0089710F">
        <w:t>%) over the last three months</w:t>
      </w:r>
      <w:r w:rsidR="00992554">
        <w:t>.</w:t>
      </w:r>
      <w:r w:rsidR="000E3566">
        <w:t xml:space="preserve"> </w:t>
      </w:r>
    </w:p>
    <w:p w14:paraId="6D122B4F" w14:textId="0D4FA6EB" w:rsidR="00D96147" w:rsidRDefault="00992554" w:rsidP="00080677">
      <w:r>
        <w:lastRenderedPageBreak/>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0C149E68" w:rsidR="009D26B6" w:rsidRPr="009D2BC7" w:rsidRDefault="009D26B6" w:rsidP="003C40F3">
      <w:pPr>
        <w:pStyle w:val="ListParagraph"/>
        <w:numPr>
          <w:ilvl w:val="0"/>
          <w:numId w:val="7"/>
        </w:numPr>
      </w:pPr>
      <w:r w:rsidRPr="009D2BC7">
        <w:rPr>
          <w:b/>
          <w:bCs/>
        </w:rPr>
        <w:t>Consumer confidence</w:t>
      </w:r>
      <w:r w:rsidRPr="009D2BC7">
        <w:t xml:space="preserve"> post the interest rate increases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44092C87" w:rsidR="009E7EF6" w:rsidRDefault="0089710F" w:rsidP="009E7EF6">
      <w:r>
        <w:t>C</w:t>
      </w:r>
      <w:r w:rsidR="00E05A34">
        <w:t>om</w:t>
      </w:r>
      <w:r w:rsidR="009E7EF6" w:rsidRPr="00F90325">
        <w:t xml:space="preserve">modity markets </w:t>
      </w:r>
      <w:r w:rsidR="00457450">
        <w:t>ended</w:t>
      </w:r>
      <w:r w:rsidR="00E32E30">
        <w:t xml:space="preserve"> </w:t>
      </w:r>
      <w:r w:rsidR="001C431B">
        <w:t>lower</w:t>
      </w:r>
      <w:r w:rsidR="00FC5F13">
        <w:t xml:space="preserve"> </w:t>
      </w:r>
      <w:r w:rsidR="0056303E">
        <w:t xml:space="preserve">with </w:t>
      </w:r>
      <w:r w:rsidR="009E7EF6" w:rsidRPr="00F90325">
        <w:t>Iron Ore clos</w:t>
      </w:r>
      <w:r w:rsidR="00040E36">
        <w:t>ing</w:t>
      </w:r>
      <w:r w:rsidR="009E7EF6" w:rsidRPr="00F90325">
        <w:t xml:space="preserve"> at US$</w:t>
      </w:r>
      <w:r w:rsidR="00AE1347">
        <w:t>98.70</w:t>
      </w:r>
      <w:r w:rsidR="009E7EF6" w:rsidRPr="00F90325">
        <w:t xml:space="preserve"> </w:t>
      </w:r>
      <w:r w:rsidR="006D3802">
        <w:t xml:space="preserve">per tonne </w:t>
      </w:r>
      <w:r w:rsidR="00910A84">
        <w:t xml:space="preserve">at the end of </w:t>
      </w:r>
      <w:r w:rsidR="00AE1347">
        <w:t>August</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3F4C03">
        <w:t>loss</w:t>
      </w:r>
      <w:r w:rsidR="008F7018">
        <w:t xml:space="preserve"> </w:t>
      </w:r>
      <w:r w:rsidR="00A85A05" w:rsidRPr="00F90325">
        <w:t>of (</w:t>
      </w:r>
      <w:r w:rsidR="003F4C03">
        <w:t>-</w:t>
      </w:r>
      <w:r w:rsidR="00AE1347">
        <w:t>6.83</w:t>
      </w:r>
      <w:r w:rsidR="00A85A05" w:rsidRPr="00F90325">
        <w:t xml:space="preserve">%) </w:t>
      </w:r>
      <w:r w:rsidR="00FC5F13">
        <w:t xml:space="preserve">and </w:t>
      </w:r>
      <w:r w:rsidR="001F41D2">
        <w:t>losses</w:t>
      </w:r>
      <w:r w:rsidR="00C44EA9">
        <w:t xml:space="preserve"> of </w:t>
      </w:r>
      <w:r w:rsidR="009E7EF6" w:rsidRPr="00F90325">
        <w:t>(</w:t>
      </w:r>
      <w:r w:rsidR="001F41D2">
        <w:t>-</w:t>
      </w:r>
      <w:r w:rsidR="00AE1347">
        <w:t>16.01</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752610">
        <w:t>lower</w:t>
      </w:r>
      <w:r w:rsidR="008F7018" w:rsidRPr="00F90325">
        <w:t xml:space="preserve"> at US$</w:t>
      </w:r>
      <w:r w:rsidR="00752610">
        <w:t>7</w:t>
      </w:r>
      <w:r w:rsidR="00AE1347">
        <w:t>3.55</w:t>
      </w:r>
      <w:r w:rsidR="008F7018" w:rsidRPr="00F90325">
        <w:t xml:space="preserve"> </w:t>
      </w:r>
      <w:r w:rsidR="008F7018">
        <w:t xml:space="preserve">a barrel </w:t>
      </w:r>
      <w:r w:rsidR="008F7018" w:rsidRPr="00F90325">
        <w:t>at the end o</w:t>
      </w:r>
      <w:r w:rsidR="008F7018">
        <w:t>f</w:t>
      </w:r>
      <w:r w:rsidR="008F7018" w:rsidRPr="00F90325">
        <w:t xml:space="preserve"> </w:t>
      </w:r>
      <w:r w:rsidR="00AE1347">
        <w:t>August</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752610">
        <w:t>loss</w:t>
      </w:r>
      <w:r w:rsidR="006C68B8">
        <w:t xml:space="preserve"> of</w:t>
      </w:r>
      <w:r w:rsidR="008F7018" w:rsidRPr="00F90325">
        <w:t xml:space="preserve"> (</w:t>
      </w:r>
      <w:r w:rsidR="00752610">
        <w:t>-</w:t>
      </w:r>
      <w:r w:rsidR="00AE1347">
        <w:t>5.60</w:t>
      </w:r>
      <w:r w:rsidR="00E77097">
        <w:t>%</w:t>
      </w:r>
      <w:r w:rsidR="008F7018" w:rsidRPr="00F90325">
        <w:t xml:space="preserve">) for the month </w:t>
      </w:r>
      <w:r w:rsidR="00107972">
        <w:t xml:space="preserve">and </w:t>
      </w:r>
      <w:r w:rsidR="00EA6C58">
        <w:t>down</w:t>
      </w:r>
      <w:r w:rsidR="00F93701">
        <w:t xml:space="preserve"> </w:t>
      </w:r>
      <w:r w:rsidR="008F7018" w:rsidRPr="00F90325">
        <w:t>(</w:t>
      </w:r>
      <w:r w:rsidR="00AE1347">
        <w:t>-4.47</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7963F685"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940589">
        <w:t>August</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7B619C1D" w:rsidR="005D2435" w:rsidRDefault="00940589" w:rsidP="003E7BC7">
      <w:pPr>
        <w:spacing w:before="120" w:after="120"/>
        <w:jc w:val="center"/>
        <w:rPr>
          <w:sz w:val="18"/>
        </w:rPr>
      </w:pPr>
      <w:r w:rsidRPr="00940589">
        <w:rPr>
          <w:noProof/>
          <w:sz w:val="18"/>
        </w:rPr>
        <w:drawing>
          <wp:inline distT="0" distB="0" distL="0" distR="0" wp14:anchorId="035F927B" wp14:editId="56079164">
            <wp:extent cx="4019550" cy="3609975"/>
            <wp:effectExtent l="0" t="0" r="0" b="9525"/>
            <wp:docPr id="19374863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5D5D2263" w14:textId="2D692F48"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EA6C58">
        <w:rPr>
          <w:sz w:val="18"/>
        </w:rPr>
        <w:t>1st</w:t>
      </w:r>
      <w:r w:rsidR="003F4C03">
        <w:rPr>
          <w:sz w:val="18"/>
        </w:rPr>
        <w:t xml:space="preserve"> </w:t>
      </w:r>
      <w:r w:rsidR="00940589">
        <w:rPr>
          <w:sz w:val="18"/>
        </w:rPr>
        <w:t>August</w:t>
      </w:r>
      <w:r w:rsidR="00CC7292">
        <w:rPr>
          <w:sz w:val="18"/>
        </w:rPr>
        <w:t xml:space="preserve"> </w:t>
      </w:r>
      <w:r w:rsidR="00AA627D">
        <w:rPr>
          <w:sz w:val="18"/>
        </w:rPr>
        <w:t>202</w:t>
      </w:r>
      <w:r w:rsidR="006C68B8">
        <w:rPr>
          <w:sz w:val="18"/>
        </w:rPr>
        <w:t>4</w:t>
      </w:r>
    </w:p>
    <w:p w14:paraId="58FD09A7" w14:textId="52D2E2AD" w:rsidR="009E7EF6" w:rsidRDefault="009E7EF6" w:rsidP="009E7EF6">
      <w:pPr>
        <w:spacing w:before="120" w:after="120"/>
      </w:pPr>
      <w:r>
        <w:lastRenderedPageBreak/>
        <w:t xml:space="preserve">Over the last month, </w:t>
      </w:r>
      <w:r w:rsidR="00940589">
        <w:t xml:space="preserve">Information Technology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940589">
        <w:t>7.86</w:t>
      </w:r>
      <w:r>
        <w:t>%)</w:t>
      </w:r>
      <w:r w:rsidR="00757323">
        <w:t>.</w:t>
      </w:r>
    </w:p>
    <w:p w14:paraId="1BD9D657" w14:textId="4C48042F" w:rsidR="00BF751B" w:rsidRDefault="00EA6C58" w:rsidP="00BF751B">
      <w:pPr>
        <w:spacing w:before="120" w:after="120"/>
      </w:pPr>
      <w:r>
        <w:t>Energy</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rsidR="00572231">
        <w:t>6.00</w:t>
      </w:r>
      <w:r w:rsidR="00BF751B">
        <w:t>%</w:t>
      </w:r>
      <w:r w:rsidR="004A252E">
        <w:t>)</w:t>
      </w:r>
      <w:r w:rsidR="00EE6DB0">
        <w:t xml:space="preserve"> for the month</w:t>
      </w:r>
      <w:r w:rsidR="00EF3062">
        <w:t xml:space="preserve">. </w:t>
      </w:r>
    </w:p>
    <w:p w14:paraId="6051FE95" w14:textId="549EB3BB" w:rsidR="006C68B8" w:rsidRDefault="00940589" w:rsidP="001F41D2">
      <w:pPr>
        <w:spacing w:before="120" w:after="120"/>
        <w:jc w:val="center"/>
      </w:pPr>
      <w:r w:rsidRPr="00940589">
        <w:rPr>
          <w:noProof/>
        </w:rPr>
        <w:drawing>
          <wp:inline distT="0" distB="0" distL="0" distR="0" wp14:anchorId="160C0BA9" wp14:editId="0B303CF2">
            <wp:extent cx="4219575" cy="2609850"/>
            <wp:effectExtent l="0" t="0" r="9525" b="0"/>
            <wp:docPr id="1211346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43ADB092"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EA6C58">
        <w:rPr>
          <w:sz w:val="18"/>
        </w:rPr>
        <w:t>1</w:t>
      </w:r>
      <w:r w:rsidR="00EA6C58" w:rsidRPr="00EA6C58">
        <w:rPr>
          <w:sz w:val="18"/>
          <w:vertAlign w:val="superscript"/>
        </w:rPr>
        <w:t>st</w:t>
      </w:r>
      <w:r w:rsidR="00EA6C58">
        <w:rPr>
          <w:sz w:val="18"/>
        </w:rPr>
        <w:t xml:space="preserve"> </w:t>
      </w:r>
      <w:r w:rsidR="00940589">
        <w:rPr>
          <w:sz w:val="18"/>
        </w:rPr>
        <w:t>August</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1C24E359"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ED2653" w:rsidRPr="0097756C">
        <w:rPr>
          <w:b/>
          <w:bCs/>
        </w:rPr>
        <w:t>positive</w:t>
      </w:r>
      <w:r w:rsidR="001846E3" w:rsidRPr="0097756C">
        <w:rPr>
          <w:b/>
          <w:bCs/>
        </w:rPr>
        <w:t xml:space="preserve"> territory</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ED2653">
        <w:t>higher</w:t>
      </w:r>
      <w:r w:rsidR="002710BC">
        <w:t xml:space="preserve"> (</w:t>
      </w:r>
      <w:r w:rsidR="00ED2653">
        <w:t>down</w:t>
      </w:r>
      <w:r w:rsidR="00E54896">
        <w:t xml:space="preserve"> </w:t>
      </w:r>
      <w:r w:rsidR="003C26EF">
        <w:t xml:space="preserve">in </w:t>
      </w:r>
      <w:r w:rsidR="002710BC">
        <w:t xml:space="preserve">yield) </w:t>
      </w:r>
      <w:r w:rsidR="00446119">
        <w:t xml:space="preserve">following on the trend established last month when </w:t>
      </w:r>
      <w:r w:rsidR="006820B4">
        <w:t>several</w:t>
      </w:r>
      <w:r w:rsidR="00ED2653">
        <w:t xml:space="preserve"> </w:t>
      </w:r>
      <w:r w:rsidR="009C7E09">
        <w:t>C</w:t>
      </w:r>
      <w:r w:rsidR="00A52972">
        <w:t xml:space="preserve">entral </w:t>
      </w:r>
      <w:r w:rsidR="009C7E09">
        <w:t>B</w:t>
      </w:r>
      <w:r w:rsidR="00A52972">
        <w:t>ank</w:t>
      </w:r>
      <w:r w:rsidR="00ED2653">
        <w:t xml:space="preserve">s </w:t>
      </w:r>
      <w:r w:rsidR="00343D9A">
        <w:t>began to ease their target cash rates. I</w:t>
      </w:r>
      <w:r w:rsidR="00C02439">
        <w:t xml:space="preserve">nvestors </w:t>
      </w:r>
      <w:r w:rsidR="00343D9A">
        <w:t xml:space="preserve">were encouraged by this trend but not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A02F18">
        <w:t xml:space="preserve">More recently, bonds have been </w:t>
      </w:r>
      <w:r w:rsidR="00D25161">
        <w:t>firming</w:t>
      </w:r>
      <w:r w:rsidR="00A02F18">
        <w:t xml:space="preserve"> </w:t>
      </w:r>
      <w:r w:rsidR="00712A94">
        <w:t xml:space="preserve">In </w:t>
      </w:r>
      <w:r w:rsidR="00EF3062">
        <w:t>Australia</w:t>
      </w:r>
      <w:r w:rsidR="00A02F18">
        <w:t xml:space="preserve"> with</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D25161" w:rsidRPr="00D25161">
        <w:rPr>
          <w:b/>
          <w:bCs/>
        </w:rPr>
        <w:t>3.</w:t>
      </w:r>
      <w:r w:rsidR="00E441AA">
        <w:rPr>
          <w:b/>
          <w:bCs/>
        </w:rPr>
        <w:t>5</w:t>
      </w:r>
      <w:r w:rsidR="00D25161" w:rsidRPr="00D25161">
        <w:rPr>
          <w:b/>
          <w:bCs/>
        </w:rPr>
        <w:t>0</w:t>
      </w:r>
      <w:r w:rsidR="0020369D" w:rsidRPr="00D25161">
        <w:rPr>
          <w:b/>
          <w:bCs/>
        </w:rPr>
        <w:t>%</w:t>
      </w:r>
      <w:r w:rsidR="0020369D">
        <w:t xml:space="preserve"> </w:t>
      </w:r>
      <w:r w:rsidR="00C23855">
        <w:t xml:space="preserve">on the </w:t>
      </w:r>
      <w:r w:rsidR="008229BA">
        <w:t>1</w:t>
      </w:r>
      <w:r w:rsidR="00E441AA">
        <w:t>6</w:t>
      </w:r>
      <w:r w:rsidR="008229BA" w:rsidRPr="008229BA">
        <w:rPr>
          <w:vertAlign w:val="superscript"/>
        </w:rPr>
        <w:t>th of</w:t>
      </w:r>
      <w:r w:rsidR="008229BA">
        <w:t xml:space="preserve"> </w:t>
      </w:r>
      <w:r w:rsidR="00E441AA">
        <w:t>September</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D25161" w:rsidRPr="00D25161">
        <w:rPr>
          <w:b/>
          <w:bCs/>
        </w:rPr>
        <w:t>3.</w:t>
      </w:r>
      <w:r w:rsidR="00E441AA">
        <w:rPr>
          <w:b/>
          <w:bCs/>
        </w:rPr>
        <w:t>847</w:t>
      </w:r>
      <w:r w:rsidR="00526D92" w:rsidRPr="008229BA">
        <w:rPr>
          <w:b/>
          <w:bCs/>
        </w:rPr>
        <w:t>%</w:t>
      </w:r>
      <w:r w:rsidR="00867FD2" w:rsidRPr="008229BA">
        <w:rPr>
          <w:b/>
          <w:bCs/>
        </w:rPr>
        <w:t>.</w:t>
      </w:r>
      <w:r w:rsidR="00712A94">
        <w:t xml:space="preserve"> </w:t>
      </w:r>
    </w:p>
    <w:p w14:paraId="3C549984" w14:textId="56C19DD5" w:rsidR="00894706" w:rsidRDefault="00ED23CC" w:rsidP="009E7EF6">
      <w:pPr>
        <w:spacing w:before="120" w:after="120"/>
      </w:pPr>
      <w:r>
        <w:t xml:space="preserve">Global Bonds </w:t>
      </w:r>
      <w:r w:rsidR="00C51753">
        <w:t xml:space="preserve">ended </w:t>
      </w:r>
      <w:r w:rsidR="00176974">
        <w:t>up</w:t>
      </w:r>
      <w:r w:rsidR="00BE2C9A">
        <w:t xml:space="preserve"> </w:t>
      </w:r>
      <w:r>
        <w:t>(</w:t>
      </w:r>
      <w:r w:rsidR="00176974">
        <w:t>+0.</w:t>
      </w:r>
      <w:r w:rsidR="004C033E">
        <w:t>92</w:t>
      </w:r>
      <w:r w:rsidR="00867FD2">
        <w:t>%</w:t>
      </w:r>
      <w:r>
        <w:t>) and Australia</w:t>
      </w:r>
      <w:r w:rsidR="00037BFE">
        <w:t>n Bonds</w:t>
      </w:r>
      <w:r>
        <w:t xml:space="preserve"> end</w:t>
      </w:r>
      <w:r w:rsidR="002720B5">
        <w:t>ed</w:t>
      </w:r>
      <w:r>
        <w:t xml:space="preserve"> </w:t>
      </w:r>
      <w:r w:rsidR="00176974">
        <w:t>up</w:t>
      </w:r>
      <w:r w:rsidR="00867FD2">
        <w:t xml:space="preserve"> </w:t>
      </w:r>
      <w:r>
        <w:t>(</w:t>
      </w:r>
      <w:r w:rsidR="00176974">
        <w:t>+</w:t>
      </w:r>
      <w:r w:rsidR="004C033E">
        <w:t>1.22</w:t>
      </w:r>
      <w:r w:rsidR="00A94C92">
        <w:t>%</w:t>
      </w:r>
      <w:r>
        <w:t>) for the month</w:t>
      </w:r>
      <w:r w:rsidR="00B6686A">
        <w:t xml:space="preserve"> of </w:t>
      </w:r>
      <w:r w:rsidR="004C033E">
        <w:t>August</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4C033E">
        <w:t>+3.58</w:t>
      </w:r>
      <w:r w:rsidR="0058031F">
        <w:t>%</w:t>
      </w:r>
      <w:r w:rsidR="0049196F">
        <w:t>) and</w:t>
      </w:r>
      <w:r w:rsidR="00AB090A">
        <w:t xml:space="preserve"> </w:t>
      </w:r>
      <w:r w:rsidR="0049196F">
        <w:t>(</w:t>
      </w:r>
      <w:r w:rsidR="004C033E">
        <w:t>+3.51</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597D87A2"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D25161">
        <w:t>6</w:t>
      </w:r>
      <w:r w:rsidR="001846E3" w:rsidRPr="001846E3">
        <w:rPr>
          <w:vertAlign w:val="superscript"/>
        </w:rPr>
        <w:t>th of</w:t>
      </w:r>
      <w:r w:rsidR="001846E3">
        <w:t xml:space="preserve"> </w:t>
      </w:r>
      <w:r w:rsidR="00D25161">
        <w:t>August</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9D60DB0" w14:textId="0B905C45" w:rsidR="00092751" w:rsidRDefault="00092751" w:rsidP="00E54896">
      <w:pPr>
        <w:spacing w:before="120" w:after="120"/>
        <w:ind w:left="720"/>
      </w:pPr>
      <w:r w:rsidRPr="00BC0D96">
        <w:rPr>
          <w:rFonts w:ascii="Calibri" w:hAnsi="Calibri" w:cs="Calibri"/>
          <w:i/>
          <w:iCs/>
          <w:color w:val="222222"/>
          <w:sz w:val="24"/>
          <w:szCs w:val="24"/>
          <w:shd w:val="clear" w:color="auto" w:fill="FFFFFF"/>
        </w:rPr>
        <w:t>“</w:t>
      </w:r>
      <w:r w:rsidR="00D25161" w:rsidRPr="00D25161">
        <w:rPr>
          <w:rFonts w:ascii="Calibri" w:hAnsi="Calibri" w:cs="Calibri"/>
          <w:i/>
          <w:iCs/>
          <w:color w:val="222222"/>
          <w:sz w:val="24"/>
          <w:szCs w:val="24"/>
          <w:shd w:val="clear" w:color="auto" w:fill="FFFFFF"/>
        </w:rPr>
        <w:t>Inflation in underlying terms remains too high, and the latest projections show that it will be some time yet before inflation is sustainably in the target range. Data have reinforced the need to remain vigilant to upside risks to inflation and the Board is not ruling anything in or out. Policy will need to be sufficiently restrictive until the Board is confident that inflation is moving sustainably towards the target range.</w:t>
      </w:r>
      <w:r w:rsidR="00D25161">
        <w:rPr>
          <w:rFonts w:ascii="Calibri" w:hAnsi="Calibri" w:cs="Calibri"/>
          <w:i/>
          <w:iCs/>
          <w:color w:val="222222"/>
          <w:sz w:val="24"/>
          <w:szCs w:val="24"/>
          <w:shd w:val="clear" w:color="auto" w:fill="FFFFFF"/>
        </w:rPr>
        <w:t xml:space="preserve"> </w:t>
      </w:r>
      <w:r w:rsidR="00AD109F" w:rsidRPr="00AD109F">
        <w:rPr>
          <w:rFonts w:ascii="Calibri" w:hAnsi="Calibri" w:cs="Calibri"/>
          <w:i/>
          <w:iCs/>
          <w:color w:val="222222"/>
          <w:sz w:val="24"/>
          <w:szCs w:val="24"/>
          <w:shd w:val="clear" w:color="auto" w:fill="FFFFFF"/>
        </w:rPr>
        <w:t xml:space="preserve">The Board </w:t>
      </w:r>
      <w:r w:rsidR="00AD109F" w:rsidRPr="00AD109F">
        <w:rPr>
          <w:rFonts w:ascii="Calibri" w:hAnsi="Calibri" w:cs="Calibri"/>
          <w:i/>
          <w:iCs/>
          <w:color w:val="222222"/>
          <w:sz w:val="24"/>
          <w:szCs w:val="24"/>
          <w:shd w:val="clear" w:color="auto" w:fill="FFFFFF"/>
        </w:rPr>
        <w:lastRenderedPageBreak/>
        <w:t>will rely upon the data and the evolving assessment of risks. In doing so, it will continue to pay close attention to developments in the global economy, trends in domestic demand, and the outlook for inflation and the labour market. The Board remains resolute in its determination to return inflation to target and will do what is necessary to achieve that outcome</w:t>
      </w:r>
      <w:r w:rsidRPr="00BC0D96">
        <w:rPr>
          <w:rFonts w:ascii="Calibri" w:hAnsi="Calibri" w:cs="Calibri"/>
          <w:i/>
          <w:iCs/>
          <w:color w:val="222222"/>
          <w:sz w:val="24"/>
          <w:szCs w:val="24"/>
          <w:shd w:val="clear" w:color="auto" w:fill="FFFFFF"/>
        </w:rPr>
        <w:t>.”</w:t>
      </w:r>
    </w:p>
    <w:p w14:paraId="05D6E233" w14:textId="18DE7458"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4" w:name="_Hlk163814096"/>
      <w:r w:rsidRPr="007E048D">
        <w:rPr>
          <w:rFonts w:ascii="Calibri" w:hAnsi="Calibri" w:cs="Calibri"/>
          <w:i/>
          <w:iCs/>
          <w:color w:val="222222"/>
          <w:shd w:val="clear" w:color="auto" w:fill="FFFFFF"/>
        </w:rPr>
        <w:t xml:space="preserve">Michelle Bullock, Governor, RBA Monetary Policy Board meeting, </w:t>
      </w:r>
      <w:r w:rsidR="00D25161">
        <w:rPr>
          <w:rFonts w:ascii="Calibri" w:hAnsi="Calibri" w:cs="Calibri"/>
          <w:i/>
          <w:iCs/>
          <w:color w:val="222222"/>
          <w:shd w:val="clear" w:color="auto" w:fill="FFFFFF"/>
        </w:rPr>
        <w:t>6</w:t>
      </w:r>
      <w:r w:rsidR="006C0F3A" w:rsidRPr="007E048D">
        <w:rPr>
          <w:rFonts w:ascii="Calibri" w:hAnsi="Calibri" w:cs="Calibri"/>
          <w:i/>
          <w:iCs/>
          <w:color w:val="222222"/>
          <w:shd w:val="clear" w:color="auto" w:fill="FFFFFF"/>
          <w:vertAlign w:val="superscript"/>
        </w:rPr>
        <w:t>h</w:t>
      </w:r>
      <w:r w:rsidR="006C0F3A" w:rsidRPr="007E048D">
        <w:rPr>
          <w:rFonts w:ascii="Calibri" w:hAnsi="Calibri" w:cs="Calibri"/>
          <w:i/>
          <w:iCs/>
          <w:color w:val="222222"/>
          <w:shd w:val="clear" w:color="auto" w:fill="FFFFFF"/>
        </w:rPr>
        <w:t xml:space="preserve"> </w:t>
      </w:r>
      <w:r w:rsidR="00D25161">
        <w:rPr>
          <w:rFonts w:ascii="Calibri" w:hAnsi="Calibri" w:cs="Calibri"/>
          <w:i/>
          <w:iCs/>
          <w:color w:val="222222"/>
          <w:shd w:val="clear" w:color="auto" w:fill="FFFFFF"/>
        </w:rPr>
        <w:t>August</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4"/>
    <w:p w14:paraId="1AD31197" w14:textId="33CFB936"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854E2E">
        <w:t>31</w:t>
      </w:r>
      <w:r w:rsidR="00854E2E" w:rsidRPr="00854E2E">
        <w:rPr>
          <w:vertAlign w:val="superscript"/>
        </w:rPr>
        <w:t>st of</w:t>
      </w:r>
      <w:r w:rsidR="00854E2E">
        <w:t xml:space="preserve"> July</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32319D26" w:rsidR="007A5EA0" w:rsidRDefault="007A5EA0" w:rsidP="00354CB7">
      <w:pPr>
        <w:spacing w:before="120" w:after="120"/>
      </w:pPr>
      <w:r w:rsidRPr="007A5EA0">
        <w:t>The US 10-year Government bonds closed at (</w:t>
      </w:r>
      <w:r w:rsidR="00BE130B">
        <w:t>3.909</w:t>
      </w:r>
      <w:r w:rsidRPr="007A5EA0">
        <w:t xml:space="preserve">%) for the </w:t>
      </w:r>
      <w:r w:rsidR="00C175CC">
        <w:t>month</w:t>
      </w:r>
      <w:r w:rsidRPr="007A5EA0">
        <w:t xml:space="preserve"> </w:t>
      </w:r>
      <w:r w:rsidR="00EA33BB">
        <w:t>down</w:t>
      </w:r>
      <w:r w:rsidRPr="007A5EA0">
        <w:t xml:space="preserve"> in yield (</w:t>
      </w:r>
      <w:r w:rsidR="00EA33BB">
        <w:t>-0.</w:t>
      </w:r>
      <w:r w:rsidR="00BE130B">
        <w:t>124</w:t>
      </w:r>
      <w:r w:rsidRPr="007A5EA0">
        <w:t xml:space="preserve">%) from the previous </w:t>
      </w:r>
      <w:r>
        <w:t>month</w:t>
      </w:r>
      <w:r w:rsidRPr="007A5EA0">
        <w:t xml:space="preserve"> close of </w:t>
      </w:r>
      <w:r w:rsidR="002F043F">
        <w:t>(</w:t>
      </w:r>
      <w:r w:rsidR="00092751">
        <w:t>4.</w:t>
      </w:r>
      <w:r w:rsidR="00BE130B">
        <w:t>033</w:t>
      </w:r>
      <w:r w:rsidRPr="007A5EA0">
        <w:t xml:space="preserve">%). </w:t>
      </w:r>
    </w:p>
    <w:p w14:paraId="7B169699" w14:textId="57E97753" w:rsidR="007A5EA0" w:rsidRPr="00D341D7" w:rsidRDefault="007A5EA0" w:rsidP="007A5EA0">
      <w:pPr>
        <w:spacing w:before="120" w:after="120" w:line="240" w:lineRule="auto"/>
      </w:pPr>
      <w:r w:rsidRPr="00D341D7">
        <w:t xml:space="preserve">The Australian Government 10-year bonds finished </w:t>
      </w:r>
      <w:r w:rsidR="00EA33BB">
        <w:t>lower</w:t>
      </w:r>
      <w:r w:rsidRPr="00D341D7">
        <w:t xml:space="preserve"> in yield in</w:t>
      </w:r>
      <w:r w:rsidR="00767F50">
        <w:t xml:space="preserve"> </w:t>
      </w:r>
      <w:r w:rsidR="00BE130B">
        <w:t>August</w:t>
      </w:r>
      <w:r w:rsidRPr="00D341D7">
        <w:t xml:space="preserve"> 202</w:t>
      </w:r>
      <w:r w:rsidR="00EB3A29">
        <w:t>4</w:t>
      </w:r>
      <w:r w:rsidRPr="00D341D7">
        <w:t xml:space="preserve"> at (</w:t>
      </w:r>
      <w:r w:rsidR="00BE130B">
        <w:t>3.973</w:t>
      </w:r>
      <w:r w:rsidRPr="00D341D7">
        <w:t xml:space="preserve">%) </w:t>
      </w:r>
      <w:r w:rsidR="00EA33BB">
        <w:t>down</w:t>
      </w:r>
      <w:r w:rsidR="00702885">
        <w:t xml:space="preserve"> </w:t>
      </w:r>
      <w:r w:rsidR="00C175CC">
        <w:t xml:space="preserve">in yield </w:t>
      </w:r>
      <w:r w:rsidRPr="00D341D7">
        <w:t>(</w:t>
      </w:r>
      <w:r w:rsidR="00EA33BB">
        <w:t>-0.</w:t>
      </w:r>
      <w:r w:rsidR="00BE130B">
        <w:t>143</w:t>
      </w:r>
      <w:r w:rsidRPr="00D341D7">
        <w:t>) from (</w:t>
      </w:r>
      <w:r w:rsidR="00BE2C9A">
        <w:t>4.</w:t>
      </w:r>
      <w:r w:rsidR="00BE130B">
        <w:t>116</w:t>
      </w:r>
      <w:r w:rsidRPr="00D341D7">
        <w:t xml:space="preserve">%) in </w:t>
      </w:r>
      <w:r w:rsidR="00BE130B">
        <w:t>August</w:t>
      </w:r>
      <w:r w:rsidRPr="00D341D7">
        <w:t xml:space="preserve"> 202</w:t>
      </w:r>
      <w:r w:rsidR="00BE2C9A">
        <w:t>4</w:t>
      </w:r>
      <w:r w:rsidRPr="00D341D7">
        <w:t xml:space="preserve">. </w:t>
      </w:r>
    </w:p>
    <w:p w14:paraId="2FF27718" w14:textId="2CA61523" w:rsidR="009E7EF6" w:rsidRDefault="007E6BE7" w:rsidP="009E7EF6">
      <w:pPr>
        <w:spacing w:before="120" w:after="120"/>
        <w:jc w:val="center"/>
      </w:pPr>
      <w:r w:rsidRPr="007E6BE7">
        <w:rPr>
          <w:noProof/>
        </w:rPr>
        <w:drawing>
          <wp:inline distT="0" distB="0" distL="0" distR="0" wp14:anchorId="55C8D015" wp14:editId="4F773E83">
            <wp:extent cx="4362450" cy="1638300"/>
            <wp:effectExtent l="0" t="0" r="0" b="0"/>
            <wp:docPr id="10723352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7C3A7BDF"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EA6C58">
        <w:rPr>
          <w:sz w:val="18"/>
        </w:rPr>
        <w:t>1</w:t>
      </w:r>
      <w:r w:rsidR="00EA6C58" w:rsidRPr="00EA6C58">
        <w:rPr>
          <w:sz w:val="18"/>
          <w:vertAlign w:val="superscript"/>
        </w:rPr>
        <w:t>st</w:t>
      </w:r>
      <w:r w:rsidR="00EA6C58">
        <w:rPr>
          <w:sz w:val="18"/>
        </w:rPr>
        <w:t xml:space="preserve"> </w:t>
      </w:r>
      <w:r w:rsidR="007E6BE7">
        <w:rPr>
          <w:sz w:val="18"/>
        </w:rPr>
        <w:t>August</w:t>
      </w:r>
      <w:r w:rsidR="009B1992">
        <w:rPr>
          <w:sz w:val="18"/>
        </w:rPr>
        <w:t xml:space="preserve"> </w:t>
      </w:r>
      <w:r w:rsidR="00AA627D">
        <w:rPr>
          <w:sz w:val="18"/>
        </w:rPr>
        <w:t>202</w:t>
      </w:r>
      <w:r w:rsidR="000D513F">
        <w:rPr>
          <w:sz w:val="18"/>
        </w:rPr>
        <w:t>4</w:t>
      </w:r>
    </w:p>
    <w:p w14:paraId="16FB30A8" w14:textId="77777777" w:rsidR="00670F31" w:rsidRDefault="00670F31" w:rsidP="009E7EF6">
      <w:pPr>
        <w:jc w:val="center"/>
        <w:rPr>
          <w:sz w:val="18"/>
        </w:rPr>
      </w:pPr>
    </w:p>
    <w:p w14:paraId="67498030" w14:textId="77777777" w:rsidR="00670F31" w:rsidRDefault="00670F31" w:rsidP="009E7EF6">
      <w:pPr>
        <w:jc w:val="center"/>
        <w:rPr>
          <w:sz w:val="18"/>
        </w:rPr>
      </w:pPr>
    </w:p>
    <w:p w14:paraId="4805EB27" w14:textId="77777777" w:rsidR="00670F31" w:rsidRDefault="00670F31" w:rsidP="009E7EF6">
      <w:pPr>
        <w:jc w:val="center"/>
        <w:rPr>
          <w:sz w:val="18"/>
        </w:rPr>
      </w:pPr>
    </w:p>
    <w:p w14:paraId="78DDFA95" w14:textId="77777777" w:rsidR="00670F31" w:rsidRDefault="00670F31" w:rsidP="009E7EF6">
      <w:pPr>
        <w:jc w:val="center"/>
        <w:rPr>
          <w:sz w:val="18"/>
        </w:rPr>
      </w:pPr>
    </w:p>
    <w:p w14:paraId="0364DB14" w14:textId="77777777" w:rsidR="00670F31" w:rsidRDefault="00670F31" w:rsidP="009E7EF6">
      <w:pPr>
        <w:jc w:val="center"/>
        <w:rPr>
          <w:sz w:val="18"/>
        </w:rPr>
      </w:pPr>
    </w:p>
    <w:p w14:paraId="487B6F74" w14:textId="77777777" w:rsidR="00670F31" w:rsidRDefault="00670F31" w:rsidP="009E7EF6">
      <w:pPr>
        <w:jc w:val="center"/>
        <w:rPr>
          <w:sz w:val="18"/>
        </w:rPr>
      </w:pPr>
    </w:p>
    <w:p w14:paraId="4F4B2825" w14:textId="77777777" w:rsidR="00670F31" w:rsidRDefault="00670F31" w:rsidP="009E7EF6">
      <w:pPr>
        <w:jc w:val="center"/>
        <w:rPr>
          <w:sz w:val="18"/>
        </w:rPr>
      </w:pPr>
    </w:p>
    <w:p w14:paraId="431DAB84"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Currency</w:t>
      </w:r>
    </w:p>
    <w:p w14:paraId="67CFAFAB" w14:textId="7F2A9574" w:rsidR="009E7EF6" w:rsidRDefault="009E7EF6" w:rsidP="00A70A09">
      <w:pPr>
        <w:spacing w:before="0" w:after="0"/>
      </w:pPr>
      <w:r>
        <w:t xml:space="preserve">The </w:t>
      </w:r>
      <w:r w:rsidR="00590B4A">
        <w:t>$</w:t>
      </w:r>
      <w:r>
        <w:t xml:space="preserve">A closed </w:t>
      </w:r>
      <w:r w:rsidR="00811CBE">
        <w:t>stronger</w:t>
      </w:r>
      <w:r w:rsidR="009B1992">
        <w:t xml:space="preserve"> </w:t>
      </w:r>
      <w:r w:rsidR="00590B4A">
        <w:t xml:space="preserve">AUD/USD </w:t>
      </w:r>
      <w:r>
        <w:t>0.</w:t>
      </w:r>
      <w:r w:rsidR="003638C4">
        <w:t>6</w:t>
      </w:r>
      <w:r w:rsidR="00811CBE">
        <w:t>806</w:t>
      </w:r>
      <w:r>
        <w:t xml:space="preserve"> at the end of </w:t>
      </w:r>
      <w:r w:rsidR="00811CBE">
        <w:t>August</w:t>
      </w:r>
      <w:r w:rsidR="00AA627D">
        <w:t xml:space="preserve"> 202</w:t>
      </w:r>
      <w:r w:rsidR="000D513F">
        <w:t>4</w:t>
      </w:r>
      <w:r>
        <w:t xml:space="preserve"> which </w:t>
      </w:r>
      <w:r w:rsidR="00811CBE">
        <w:t xml:space="preserve">was a negative for </w:t>
      </w:r>
      <w:r w:rsidR="00A72332">
        <w:t>returns for</w:t>
      </w:r>
      <w:r>
        <w:t xml:space="preserve"> investors who held offshore assets unhedged (</w:t>
      </w:r>
      <w:r w:rsidR="00811CBE">
        <w:t>-4.85</w:t>
      </w:r>
      <w:r>
        <w:t xml:space="preserve">%) over the </w:t>
      </w:r>
      <w:r w:rsidR="00CE6ADD">
        <w:t xml:space="preserve">month </w:t>
      </w:r>
      <w:r w:rsidR="00DE0182">
        <w:t>and</w:t>
      </w:r>
      <w:r w:rsidR="00CA7193">
        <w:t xml:space="preserve"> </w:t>
      </w:r>
      <w:r w:rsidR="00CE6ADD">
        <w:t>(</w:t>
      </w:r>
      <w:r w:rsidR="00811CBE">
        <w:t>-2.55</w:t>
      </w:r>
      <w:r w:rsidR="00CE6ADD">
        <w:t>%</w:t>
      </w:r>
      <w:r w:rsidR="0088021D">
        <w:t>)</w:t>
      </w:r>
      <w:r w:rsidR="00CE6ADD">
        <w:t xml:space="preserve"> </w:t>
      </w:r>
      <w:r w:rsidR="0088021D">
        <w:t xml:space="preserve">over the </w:t>
      </w:r>
      <w:r>
        <w:t>last three months.</w:t>
      </w:r>
    </w:p>
    <w:p w14:paraId="61BE8DE3" w14:textId="59E0C4A7" w:rsidR="004D2D2C" w:rsidRDefault="000F6842"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72BB09A5">
                <wp:simplePos x="0" y="0"/>
                <wp:positionH relativeFrom="column">
                  <wp:posOffset>3333750</wp:posOffset>
                </wp:positionH>
                <wp:positionV relativeFrom="paragraph">
                  <wp:posOffset>191770</wp:posOffset>
                </wp:positionV>
                <wp:extent cx="2200275" cy="1905000"/>
                <wp:effectExtent l="0" t="0" r="28575" b="19050"/>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05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62.5pt;margin-top:15.1pt;width:173.25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" fillcolor="white [3201]" strokecolor="#414042 [3200]" strokeweight="2pt">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A954C5" w:rsidRPr="00A954C5">
        <w:t xml:space="preserve"> </w:t>
      </w:r>
      <w:r w:rsidR="00A954C5" w:rsidRPr="00A954C5">
        <w:rPr>
          <w:noProof/>
        </w:rPr>
        <w:drawing>
          <wp:inline distT="0" distB="0" distL="0" distR="0" wp14:anchorId="7B65147E" wp14:editId="2AA6EC1E">
            <wp:extent cx="2951181" cy="2371725"/>
            <wp:effectExtent l="0" t="0" r="1905" b="0"/>
            <wp:docPr id="13722670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8452" cy="2385605"/>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5EFA6798" w:rsidR="009E7EF6" w:rsidRDefault="00E83078" w:rsidP="00A70A09">
      <w:pPr>
        <w:spacing w:before="0" w:after="240"/>
      </w:pPr>
      <w:r w:rsidRPr="00E83078">
        <w:t>Australia’s latest GDP data for the</w:t>
      </w:r>
      <w:r w:rsidR="00CF265D">
        <w:t xml:space="preserve"> second</w:t>
      </w:r>
      <w:r w:rsidRPr="00E83078">
        <w:t xml:space="preserve"> quarter of 202</w:t>
      </w:r>
      <w:r w:rsidR="0091516C">
        <w:t>4</w:t>
      </w:r>
      <w:r w:rsidRPr="00E83078">
        <w:t xml:space="preserve"> revealed an </w:t>
      </w:r>
      <w:r w:rsidRPr="00E83078">
        <w:rPr>
          <w:b/>
          <w:bCs/>
        </w:rPr>
        <w:t xml:space="preserve">annual growth rate of </w:t>
      </w:r>
      <w:r w:rsidR="001F699A">
        <w:rPr>
          <w:b/>
          <w:bCs/>
        </w:rPr>
        <w:t>1.</w:t>
      </w:r>
      <w:r w:rsidR="00CF265D">
        <w:rPr>
          <w:b/>
          <w:bCs/>
        </w:rPr>
        <w:t>0</w:t>
      </w:r>
      <w:r w:rsidRPr="00E83078">
        <w:rPr>
          <w:b/>
          <w:bCs/>
        </w:rPr>
        <w:t>%</w:t>
      </w:r>
      <w:r w:rsidRPr="00E83078">
        <w:t xml:space="preserve"> which was </w:t>
      </w:r>
      <w:r w:rsidR="001F699A">
        <w:t>down</w:t>
      </w:r>
      <w:r w:rsidR="002656F2">
        <w:t xml:space="preserve"> f</w:t>
      </w:r>
      <w:r w:rsidRPr="00E83078">
        <w:t xml:space="preserve">rom </w:t>
      </w:r>
      <w:r w:rsidR="0091516C">
        <w:t>1.</w:t>
      </w:r>
      <w:r w:rsidR="00CF265D">
        <w:t>3</w:t>
      </w:r>
      <w:r w:rsidR="001F699A">
        <w:t xml:space="preserve">0% in the </w:t>
      </w:r>
      <w:r w:rsidR="00CF265D">
        <w:t>first</w:t>
      </w:r>
      <w:r w:rsidR="001F699A">
        <w:t xml:space="preserve"> </w:t>
      </w:r>
      <w:r w:rsidRPr="00E83078">
        <w:t>quarter of 202</w:t>
      </w:r>
      <w:r w:rsidR="00CF265D">
        <w:t>4</w:t>
      </w:r>
      <w:r w:rsidR="002656F2">
        <w:t>.</w:t>
      </w:r>
      <w:r w:rsidRPr="00E83078">
        <w:t xml:space="preserve"> Unemployment </w:t>
      </w:r>
      <w:r w:rsidR="00301803">
        <w:t>rose</w:t>
      </w:r>
      <w:r w:rsidR="009F26B6">
        <w:t xml:space="preserve"> to </w:t>
      </w:r>
      <w:r w:rsidR="0091516C">
        <w:t>4.</w:t>
      </w:r>
      <w:r w:rsidR="00CF265D">
        <w:t>2</w:t>
      </w:r>
      <w:r w:rsidR="00481C63">
        <w:t xml:space="preserve">% </w:t>
      </w:r>
      <w:r w:rsidRPr="00E83078">
        <w:t xml:space="preserve">in </w:t>
      </w:r>
      <w:r w:rsidR="00301803">
        <w:t>Ju</w:t>
      </w:r>
      <w:r w:rsidR="00CF265D">
        <w:t>ly</w:t>
      </w:r>
      <w:r w:rsidRPr="00E83078">
        <w:t xml:space="preserve"> 202</w:t>
      </w:r>
      <w:r w:rsidR="0089173A">
        <w:t>4</w:t>
      </w:r>
      <w:r w:rsidR="009F26B6">
        <w:t xml:space="preserve"> from </w:t>
      </w:r>
      <w:r w:rsidR="0091516C">
        <w:t>4.</w:t>
      </w:r>
      <w:r w:rsidR="00CF265D">
        <w:t>1</w:t>
      </w:r>
      <w:r w:rsidR="009F26B6">
        <w:t>%</w:t>
      </w:r>
      <w:r w:rsidR="009452BE">
        <w:t xml:space="preserve"> </w:t>
      </w:r>
      <w:r w:rsidR="0091516C">
        <w:t>i</w:t>
      </w:r>
      <w:r w:rsidR="009452BE">
        <w:t xml:space="preserve">n </w:t>
      </w:r>
      <w:r w:rsidR="00CF265D">
        <w:t>June</w:t>
      </w:r>
      <w:r w:rsidR="009452BE">
        <w:t xml:space="preserve"> 2024</w:t>
      </w:r>
      <w:r w:rsidR="00172387">
        <w:t>.</w:t>
      </w:r>
      <w:r w:rsidRPr="00E83078">
        <w:t xml:space="preserve"> The </w:t>
      </w:r>
      <w:r w:rsidR="001918FE" w:rsidRPr="007D7864">
        <w:rPr>
          <w:b/>
          <w:bCs/>
        </w:rPr>
        <w:t xml:space="preserve">inflation rate </w:t>
      </w:r>
      <w:r w:rsidR="00301803">
        <w:rPr>
          <w:b/>
          <w:bCs/>
        </w:rPr>
        <w:t>rose</w:t>
      </w:r>
      <w:r w:rsidR="001918FE" w:rsidRPr="007D7864">
        <w:rPr>
          <w:b/>
          <w:bCs/>
        </w:rPr>
        <w:t xml:space="preserve"> to </w:t>
      </w:r>
      <w:r w:rsidR="00A7764C">
        <w:rPr>
          <w:b/>
          <w:bCs/>
        </w:rPr>
        <w:t>3.</w:t>
      </w:r>
      <w:r w:rsidR="00301803">
        <w:rPr>
          <w:b/>
          <w:bCs/>
        </w:rPr>
        <w:t>8</w:t>
      </w:r>
      <w:r w:rsidR="001918FE" w:rsidRPr="007D7864">
        <w:rPr>
          <w:b/>
          <w:bCs/>
        </w:rPr>
        <w:t>%</w:t>
      </w:r>
      <w:r w:rsidR="001918FE">
        <w:t xml:space="preserve"> in the </w:t>
      </w:r>
      <w:r w:rsidR="00301803">
        <w:t>second</w:t>
      </w:r>
      <w:r w:rsidR="001918FE">
        <w:t xml:space="preserve"> quarter of 202</w:t>
      </w:r>
      <w:r w:rsidR="00A7764C">
        <w:t>4</w:t>
      </w:r>
      <w:r w:rsidR="001918FE">
        <w:t xml:space="preserve"> </w:t>
      </w:r>
      <w:r w:rsidR="00301803">
        <w:t>up</w:t>
      </w:r>
      <w:r w:rsidR="001918FE">
        <w:t xml:space="preserve"> from </w:t>
      </w:r>
      <w:r w:rsidR="00301803">
        <w:t>3.6</w:t>
      </w:r>
      <w:r w:rsidR="001918FE">
        <w:t xml:space="preserve">% in the </w:t>
      </w:r>
      <w:r w:rsidR="00A7764C">
        <w:t>f</w:t>
      </w:r>
      <w:r w:rsidR="00301803">
        <w:t>irst</w:t>
      </w:r>
      <w:r w:rsidR="001918FE">
        <w:t xml:space="preserve"> quarter 202</w:t>
      </w:r>
      <w:r w:rsidR="00301803">
        <w:t>4</w:t>
      </w:r>
      <w:r w:rsidR="001918FE">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635847C8" w:rsidR="00147535" w:rsidRDefault="00A954C5" w:rsidP="00C96BC6">
      <w:pPr>
        <w:pStyle w:val="Heading2"/>
        <w:jc w:val="center"/>
        <w:rPr>
          <w:b w:val="0"/>
          <w:bCs w:val="0"/>
        </w:rPr>
      </w:pPr>
      <w:r w:rsidRPr="00A954C5">
        <w:rPr>
          <w:b w:val="0"/>
          <w:bCs w:val="0"/>
          <w:noProof/>
        </w:rPr>
        <w:drawing>
          <wp:inline distT="0" distB="0" distL="0" distR="0" wp14:anchorId="275AA6D8" wp14:editId="3B90B5E2">
            <wp:extent cx="2776009" cy="2324100"/>
            <wp:effectExtent l="0" t="0" r="5715" b="0"/>
            <wp:docPr id="1875671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0470" cy="2327835"/>
                    </a:xfrm>
                    <a:prstGeom prst="rect">
                      <a:avLst/>
                    </a:prstGeom>
                    <a:noFill/>
                    <a:ln>
                      <a:noFill/>
                    </a:ln>
                  </pic:spPr>
                </pic:pic>
              </a:graphicData>
            </a:graphic>
          </wp:inline>
        </w:drawing>
      </w:r>
      <w:r w:rsidR="00907005" w:rsidRPr="00907005">
        <w:rPr>
          <w:b w:val="0"/>
          <w:bCs w:val="0"/>
        </w:rPr>
        <w:t xml:space="preserve"> </w:t>
      </w:r>
      <w:r w:rsidR="00CF265D" w:rsidRPr="00CF265D">
        <w:rPr>
          <w:b w:val="0"/>
          <w:bCs w:val="0"/>
          <w:noProof/>
        </w:rPr>
        <w:drawing>
          <wp:inline distT="0" distB="0" distL="0" distR="0" wp14:anchorId="53F5A9CA" wp14:editId="619AC913">
            <wp:extent cx="2612361" cy="2389505"/>
            <wp:effectExtent l="0" t="0" r="0" b="0"/>
            <wp:docPr id="10864708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4726" cy="2400815"/>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250CA2D6"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CF265D">
        <w:t xml:space="preserve">remains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F33D40">
        <w:rPr>
          <w:b/>
          <w:bCs/>
        </w:rPr>
        <w:t xml:space="preserve">expected to </w:t>
      </w:r>
      <w:r w:rsidR="002903A6" w:rsidRPr="00F33D40">
        <w:rPr>
          <w:b/>
          <w:bCs/>
        </w:rPr>
        <w:t>ease</w:t>
      </w:r>
      <w:r w:rsidR="00C96BC6" w:rsidRPr="00F33D40">
        <w:rPr>
          <w:b/>
          <w:bCs/>
        </w:rPr>
        <w:t xml:space="preserve"> </w:t>
      </w:r>
      <w:r w:rsidR="0077020B" w:rsidRPr="00F33D40">
        <w:rPr>
          <w:b/>
          <w:bCs/>
        </w:rPr>
        <w:t xml:space="preserve">in </w:t>
      </w:r>
      <w:r w:rsidR="00CF265D">
        <w:rPr>
          <w:b/>
          <w:bCs/>
        </w:rPr>
        <w:t xml:space="preserve">February </w:t>
      </w:r>
      <w:r w:rsidR="0077020B" w:rsidRPr="00F33D40">
        <w:rPr>
          <w:b/>
          <w:bCs/>
        </w:rPr>
        <w:t>202</w:t>
      </w:r>
      <w:r w:rsidR="00F33D40" w:rsidRPr="00F33D40">
        <w:rPr>
          <w:b/>
          <w:bCs/>
        </w:rPr>
        <w:t>5</w:t>
      </w:r>
      <w:r w:rsidR="0077020B">
        <w:t xml:space="preserve"> </w:t>
      </w:r>
      <w:r w:rsidR="00C96BC6">
        <w:t>along with inflation</w:t>
      </w:r>
      <w:r w:rsidR="00745215">
        <w:t xml:space="preserve">. </w:t>
      </w:r>
    </w:p>
    <w:p w14:paraId="584F1152" w14:textId="1D948E2C" w:rsidR="0077020B" w:rsidRDefault="00854E2E" w:rsidP="00001F8C">
      <w:r>
        <w:t>All eyes are on</w:t>
      </w:r>
      <w:r w:rsidR="0077020B">
        <w:t xml:space="preserve"> how the economy reacts to the tax changes </w:t>
      </w:r>
      <w:r w:rsidR="00CF265D">
        <w:t xml:space="preserve">which came into effect in </w:t>
      </w:r>
      <w:r w:rsidR="0077020B">
        <w:t xml:space="preserve">July 2024 and the State Governments cash splash and the impact on consumer spending. Needless to say: </w:t>
      </w:r>
      <w:r w:rsidR="0077020B" w:rsidRPr="0077020B">
        <w:rPr>
          <w:b/>
          <w:bCs/>
        </w:rPr>
        <w:t>Higher spending=higher demand=higher prices=higher inflation=higher for longer interest rates.</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6B72D299" w14:textId="54DCF0F5" w:rsidR="002761ED" w:rsidRDefault="00FD5867" w:rsidP="004273DE">
      <w:pPr>
        <w:spacing w:before="120" w:after="120"/>
      </w:pPr>
      <w:r>
        <w:t>Global</w:t>
      </w:r>
      <w:r w:rsidR="00F11088">
        <w:t xml:space="preserve"> </w:t>
      </w:r>
      <w:r w:rsidR="0077020B">
        <w:t xml:space="preserve">share </w:t>
      </w:r>
      <w:r w:rsidR="002761ED">
        <w:t xml:space="preserve">market </w:t>
      </w:r>
      <w:r w:rsidR="001451A8">
        <w:t xml:space="preserve">returns </w:t>
      </w:r>
      <w:r w:rsidR="00DF5A47">
        <w:t xml:space="preserve">were </w:t>
      </w:r>
      <w:r w:rsidR="007D050D">
        <w:t>influenced</w:t>
      </w:r>
      <w:r w:rsidR="002761ED">
        <w:t xml:space="preserve"> </w:t>
      </w:r>
      <w:r w:rsidR="0077020B">
        <w:t xml:space="preserve">by </w:t>
      </w:r>
      <w:r w:rsidR="007D050D">
        <w:t xml:space="preserve">volatility surrounding the </w:t>
      </w:r>
      <w:r w:rsidR="00D8605F">
        <w:t xml:space="preserve">Yen carry trade and unemployment data  coming in weaker than expected. The </w:t>
      </w:r>
      <w:r w:rsidR="00F33D40" w:rsidRPr="00D8605F">
        <w:rPr>
          <w:b/>
          <w:bCs/>
        </w:rPr>
        <w:t xml:space="preserve">S&amp;P500 </w:t>
      </w:r>
      <w:r w:rsidR="00D8605F" w:rsidRPr="00D8605F">
        <w:rPr>
          <w:b/>
          <w:bCs/>
        </w:rPr>
        <w:t>in US terms</w:t>
      </w:r>
      <w:r w:rsidR="00D8605F">
        <w:t xml:space="preserve"> was up (+2.43% for August 2024. Consumer Staples were up 6.01% while Energy was down (-2.13)</w:t>
      </w:r>
      <w:r w:rsidR="00F33D40">
        <w:t xml:space="preserve">. </w:t>
      </w:r>
      <w:r w:rsidR="00B079CC">
        <w:t>Other sectors led the way with Real Estate (+</w:t>
      </w:r>
      <w:r w:rsidR="00D8605F">
        <w:t>5.79</w:t>
      </w:r>
      <w:r w:rsidR="00B079CC">
        <w:t xml:space="preserve">%), </w:t>
      </w:r>
      <w:r w:rsidR="00D8605F">
        <w:t xml:space="preserve">Healthcare (+5.10%), </w:t>
      </w:r>
      <w:r w:rsidR="00B079CC">
        <w:t>Utilities (+</w:t>
      </w:r>
      <w:r w:rsidR="00D8605F">
        <w:t>4.86</w:t>
      </w:r>
      <w:r w:rsidR="00B079CC">
        <w:t xml:space="preserve">%) and </w:t>
      </w:r>
      <w:r w:rsidR="00D8605F">
        <w:t>Industrials</w:t>
      </w:r>
      <w:r w:rsidR="00B079CC">
        <w:t xml:space="preserve"> (+</w:t>
      </w:r>
      <w:r w:rsidR="00D8605F">
        <w:t>2.86</w:t>
      </w:r>
      <w:r w:rsidR="00B079CC">
        <w:t xml:space="preserve">%). </w:t>
      </w:r>
      <w:r w:rsidR="00F33D40">
        <w:t xml:space="preserve">Early August volatility spiked in the global markets and knocked investor confidence however, the markets have since stabilised but </w:t>
      </w:r>
      <w:r w:rsidR="00B079CC">
        <w:t xml:space="preserve">remain </w:t>
      </w:r>
      <w:r w:rsidR="00F33D40">
        <w:t>nervous</w:t>
      </w:r>
      <w:r w:rsidR="00B079CC">
        <w:t xml:space="preserve"> about further unwinding of the Yen carry trade</w:t>
      </w:r>
      <w:r w:rsidR="00F33D40">
        <w:t xml:space="preserve">. </w:t>
      </w:r>
    </w:p>
    <w:p w14:paraId="670F5E44" w14:textId="5D733A76"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Q</w:t>
      </w:r>
      <w:r w:rsidR="00C00E8F">
        <w:t>3</w:t>
      </w:r>
      <w:r w:rsidR="00C5696F">
        <w:t xml:space="preserve"> and Q</w:t>
      </w:r>
      <w:r w:rsidR="00C00E8F">
        <w:t>4</w:t>
      </w:r>
      <w:r w:rsidR="00C5696F">
        <w:t xml:space="preserve"> </w:t>
      </w:r>
      <w:r w:rsidR="002903A6">
        <w:t xml:space="preserve">to reflect </w:t>
      </w:r>
      <w:r w:rsidR="00C00E8F">
        <w:t>improving</w:t>
      </w:r>
      <w:r w:rsidR="00C465D1">
        <w:t xml:space="preserve"> </w:t>
      </w:r>
      <w:r w:rsidR="00C5696F">
        <w:t xml:space="preserve">company results plus </w:t>
      </w:r>
      <w:r w:rsidR="00C465D1">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2761ED">
        <w:t xml:space="preserve"> between the current supply and demand for capital</w:t>
      </w:r>
      <w:r w:rsidR="00C00E8F">
        <w:t>.</w:t>
      </w:r>
      <w:r w:rsidR="00005474">
        <w:rPr>
          <w:rFonts w:ascii="Calibri" w:hAnsi="Calibri" w:cs="Calibri"/>
          <w:color w:val="222222"/>
          <w:sz w:val="24"/>
          <w:szCs w:val="24"/>
          <w:shd w:val="clear" w:color="auto" w:fill="FFFFFF"/>
        </w:rPr>
        <w:t xml:space="preserve"> </w:t>
      </w:r>
    </w:p>
    <w:p w14:paraId="78765574" w14:textId="77777777" w:rsidR="00E2549C" w:rsidRDefault="00E2549C" w:rsidP="009B38B3">
      <w:pPr>
        <w:rPr>
          <w:rFonts w:ascii="Calibri" w:hAnsi="Calibri" w:cs="Calibri"/>
          <w:color w:val="222222"/>
          <w:sz w:val="24"/>
          <w:szCs w:val="24"/>
          <w:shd w:val="clear" w:color="auto" w:fill="FFFFFF"/>
        </w:rPr>
      </w:pP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BF46611" w14:textId="48424974" w:rsidR="00DC3092" w:rsidRPr="00DC3092" w:rsidRDefault="00A81BD3" w:rsidP="004273DE">
      <w:pPr>
        <w:spacing w:before="120" w:after="120"/>
      </w:pPr>
      <w:r w:rsidRPr="00DC3092">
        <w:t>All eyes are</w:t>
      </w:r>
      <w:r w:rsidR="009F26B6">
        <w:t xml:space="preserve"> </w:t>
      </w:r>
      <w:r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77777777"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p>
    <w:p w14:paraId="4E1B39B5" w14:textId="0C56A16C" w:rsidR="00D06704" w:rsidRDefault="00D06704" w:rsidP="009E7EF6">
      <w:r>
        <w:t xml:space="preserve">The </w:t>
      </w:r>
      <w:r w:rsidRPr="009B70AF">
        <w:rPr>
          <w:b/>
          <w:bCs/>
        </w:rPr>
        <w:t>US elections in November 2024</w:t>
      </w:r>
      <w:r>
        <w:t xml:space="preserve"> are a background factor however, there may be </w:t>
      </w:r>
      <w:r w:rsidR="006820B4">
        <w:t>periods of</w:t>
      </w:r>
      <w:r>
        <w:t xml:space="preserve"> volatility in the lead up to the election. The same can be said about the European and UK elections</w:t>
      </w:r>
      <w:r w:rsidR="00235AFB">
        <w:t xml:space="preserve"> post the voting surprises experienced there recently.</w:t>
      </w:r>
      <w:r>
        <w:t xml:space="preserve"> A big year for voters. Post all the noise, the economic recovery should start to emerge.</w:t>
      </w:r>
    </w:p>
    <w:p w14:paraId="67B2D452" w14:textId="44CB80DB" w:rsidR="004B17FB" w:rsidRDefault="00005474" w:rsidP="009E7EF6">
      <w:r w:rsidRPr="00005474">
        <w:rPr>
          <w:b/>
          <w:bCs/>
        </w:rPr>
        <w:lastRenderedPageBreak/>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B52912" w:rsidRPr="00A64C25">
        <w:rPr>
          <w:b/>
          <w:bCs/>
        </w:rPr>
        <w:t>consolidat</w:t>
      </w:r>
      <w:r>
        <w:rPr>
          <w:b/>
          <w:bCs/>
        </w:rPr>
        <w:t>ing</w:t>
      </w:r>
      <w:r w:rsidR="00B52912">
        <w:t xml:space="preserve"> before s</w:t>
      </w:r>
      <w:r w:rsidR="004A734E" w:rsidRPr="004A734E">
        <w:t>tart</w:t>
      </w:r>
      <w:r w:rsidR="00B52912">
        <w:t>ing</w:t>
      </w:r>
      <w:r w:rsidR="004A734E" w:rsidRPr="004A734E">
        <w:t xml:space="preserve"> </w:t>
      </w:r>
      <w:r w:rsidR="00B52912">
        <w:t>to recover</w:t>
      </w:r>
      <w:r w:rsidR="004A734E" w:rsidRPr="004A734E">
        <w:t xml:space="preserve"> </w:t>
      </w:r>
      <w:r>
        <w:t>longer term.</w:t>
      </w:r>
      <w:r w:rsidR="00B52912">
        <w:t xml:space="preserve">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22CEE83B" w:rsidR="00DA7237" w:rsidRDefault="00B52912" w:rsidP="006E0DCD">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50900462" w:rsidR="00DE74A4" w:rsidRPr="000F52AB" w:rsidRDefault="009E7EF6" w:rsidP="00421DFB">
      <w:r w:rsidRPr="00A851EE">
        <w:rPr>
          <w:sz w:val="18"/>
        </w:rPr>
        <w:t xml:space="preserve">This market update written by Graham Fox for and on behalf of HNW Planning on </w:t>
      </w:r>
      <w:r w:rsidR="004A1535">
        <w:rPr>
          <w:sz w:val="18"/>
        </w:rPr>
        <w:t>1</w:t>
      </w:r>
      <w:r w:rsidR="00C74AE3">
        <w:rPr>
          <w:sz w:val="18"/>
        </w:rPr>
        <w:t>6</w:t>
      </w:r>
      <w:r w:rsidRPr="00A851EE">
        <w:rPr>
          <w:sz w:val="18"/>
        </w:rPr>
        <w:t>/</w:t>
      </w:r>
      <w:r w:rsidR="000B1350">
        <w:rPr>
          <w:sz w:val="18"/>
        </w:rPr>
        <w:t>0</w:t>
      </w:r>
      <w:r w:rsidR="00C74AE3">
        <w:rPr>
          <w:sz w:val="18"/>
        </w:rPr>
        <w:t>9</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1"/>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24BD" w14:textId="77777777" w:rsidR="00136F68" w:rsidRDefault="00136F68" w:rsidP="00EB28A8">
      <w:pPr>
        <w:spacing w:after="0" w:line="240" w:lineRule="auto"/>
      </w:pPr>
      <w:r>
        <w:separator/>
      </w:r>
    </w:p>
  </w:endnote>
  <w:endnote w:type="continuationSeparator" w:id="0">
    <w:p w14:paraId="01372A56" w14:textId="77777777" w:rsidR="00136F68" w:rsidRDefault="00136F68"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EB80E" w14:textId="77777777" w:rsidR="00136F68" w:rsidRDefault="00136F68" w:rsidP="00EB28A8">
      <w:pPr>
        <w:spacing w:after="0" w:line="240" w:lineRule="auto"/>
      </w:pPr>
      <w:r>
        <w:separator/>
      </w:r>
    </w:p>
  </w:footnote>
  <w:footnote w:type="continuationSeparator" w:id="0">
    <w:p w14:paraId="22B0057B" w14:textId="77777777" w:rsidR="00136F68" w:rsidRDefault="00136F68"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5"/>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6"/>
  </w:num>
  <w:num w:numId="8" w16cid:durableId="15420892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2337"/>
    <w:rsid w:val="00063F3C"/>
    <w:rsid w:val="00066C19"/>
    <w:rsid w:val="00066E8A"/>
    <w:rsid w:val="00067753"/>
    <w:rsid w:val="000678F3"/>
    <w:rsid w:val="00071486"/>
    <w:rsid w:val="000732F1"/>
    <w:rsid w:val="00074A1A"/>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26DE"/>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783"/>
    <w:rsid w:val="000F7BDA"/>
    <w:rsid w:val="0010043C"/>
    <w:rsid w:val="00102BB6"/>
    <w:rsid w:val="00102E4C"/>
    <w:rsid w:val="0010573F"/>
    <w:rsid w:val="00105BCC"/>
    <w:rsid w:val="00105FA6"/>
    <w:rsid w:val="001066CC"/>
    <w:rsid w:val="00107049"/>
    <w:rsid w:val="001073CA"/>
    <w:rsid w:val="00107972"/>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57C3"/>
    <w:rsid w:val="00136204"/>
    <w:rsid w:val="00136F68"/>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1307"/>
    <w:rsid w:val="0021189B"/>
    <w:rsid w:val="00212403"/>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4149E"/>
    <w:rsid w:val="002431FA"/>
    <w:rsid w:val="0024668D"/>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91C"/>
    <w:rsid w:val="002E535D"/>
    <w:rsid w:val="002E6845"/>
    <w:rsid w:val="002E7897"/>
    <w:rsid w:val="002F043F"/>
    <w:rsid w:val="002F0E91"/>
    <w:rsid w:val="002F2CC6"/>
    <w:rsid w:val="002F3360"/>
    <w:rsid w:val="002F4071"/>
    <w:rsid w:val="002F45CF"/>
    <w:rsid w:val="002F59EA"/>
    <w:rsid w:val="002F5F70"/>
    <w:rsid w:val="00300938"/>
    <w:rsid w:val="00300FD9"/>
    <w:rsid w:val="00301330"/>
    <w:rsid w:val="00301803"/>
    <w:rsid w:val="003033AC"/>
    <w:rsid w:val="0030556E"/>
    <w:rsid w:val="00310DA6"/>
    <w:rsid w:val="00311F31"/>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77E57"/>
    <w:rsid w:val="003824D8"/>
    <w:rsid w:val="00382D5C"/>
    <w:rsid w:val="00383326"/>
    <w:rsid w:val="00384EB8"/>
    <w:rsid w:val="00385571"/>
    <w:rsid w:val="00387588"/>
    <w:rsid w:val="00387C00"/>
    <w:rsid w:val="00387C8F"/>
    <w:rsid w:val="00390D33"/>
    <w:rsid w:val="0039159F"/>
    <w:rsid w:val="00391BC9"/>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0A02"/>
    <w:rsid w:val="003C15AC"/>
    <w:rsid w:val="003C1B17"/>
    <w:rsid w:val="003C1DA4"/>
    <w:rsid w:val="003C23F8"/>
    <w:rsid w:val="003C26EF"/>
    <w:rsid w:val="003C279F"/>
    <w:rsid w:val="003C4073"/>
    <w:rsid w:val="003C40F3"/>
    <w:rsid w:val="003C5147"/>
    <w:rsid w:val="003C5324"/>
    <w:rsid w:val="003C5801"/>
    <w:rsid w:val="003C6F2D"/>
    <w:rsid w:val="003D0503"/>
    <w:rsid w:val="003D19F1"/>
    <w:rsid w:val="003D5229"/>
    <w:rsid w:val="003D78AB"/>
    <w:rsid w:val="003E1682"/>
    <w:rsid w:val="003E1E0A"/>
    <w:rsid w:val="003E1FA0"/>
    <w:rsid w:val="003E2AA4"/>
    <w:rsid w:val="003E37EE"/>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033E"/>
    <w:rsid w:val="004C1112"/>
    <w:rsid w:val="004C3B67"/>
    <w:rsid w:val="004C3C46"/>
    <w:rsid w:val="004C3E27"/>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268"/>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3E8C"/>
    <w:rsid w:val="00733FAC"/>
    <w:rsid w:val="007343AC"/>
    <w:rsid w:val="0073462F"/>
    <w:rsid w:val="007346C1"/>
    <w:rsid w:val="0073596C"/>
    <w:rsid w:val="00735BDB"/>
    <w:rsid w:val="00736488"/>
    <w:rsid w:val="007367EC"/>
    <w:rsid w:val="0074091A"/>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50D"/>
    <w:rsid w:val="007D0C99"/>
    <w:rsid w:val="007D1BED"/>
    <w:rsid w:val="007D1D5E"/>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5840"/>
    <w:rsid w:val="008E5D1F"/>
    <w:rsid w:val="008E757D"/>
    <w:rsid w:val="008E7965"/>
    <w:rsid w:val="008F12F3"/>
    <w:rsid w:val="008F23A8"/>
    <w:rsid w:val="008F379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1A42"/>
    <w:rsid w:val="00962744"/>
    <w:rsid w:val="00962AD5"/>
    <w:rsid w:val="009631ED"/>
    <w:rsid w:val="00964425"/>
    <w:rsid w:val="0096478F"/>
    <w:rsid w:val="00965252"/>
    <w:rsid w:val="0096556B"/>
    <w:rsid w:val="009657F3"/>
    <w:rsid w:val="0096593D"/>
    <w:rsid w:val="00966124"/>
    <w:rsid w:val="009677B1"/>
    <w:rsid w:val="0096795C"/>
    <w:rsid w:val="009708AD"/>
    <w:rsid w:val="00972621"/>
    <w:rsid w:val="009741E1"/>
    <w:rsid w:val="009744FA"/>
    <w:rsid w:val="0097507F"/>
    <w:rsid w:val="00975201"/>
    <w:rsid w:val="009756E0"/>
    <w:rsid w:val="00975C44"/>
    <w:rsid w:val="00975DDE"/>
    <w:rsid w:val="00976AE6"/>
    <w:rsid w:val="0097756C"/>
    <w:rsid w:val="00977DA9"/>
    <w:rsid w:val="00980D88"/>
    <w:rsid w:val="00981801"/>
    <w:rsid w:val="00981B85"/>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4C5"/>
    <w:rsid w:val="00A95644"/>
    <w:rsid w:val="00A95835"/>
    <w:rsid w:val="00A972FA"/>
    <w:rsid w:val="00A97612"/>
    <w:rsid w:val="00A9793C"/>
    <w:rsid w:val="00AA3715"/>
    <w:rsid w:val="00AA45F6"/>
    <w:rsid w:val="00AA61C2"/>
    <w:rsid w:val="00AA627D"/>
    <w:rsid w:val="00AA69BE"/>
    <w:rsid w:val="00AA7C40"/>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2EF"/>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36ED"/>
    <w:rsid w:val="00BB66F2"/>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C4B"/>
    <w:rsid w:val="00C66DAD"/>
    <w:rsid w:val="00C674CD"/>
    <w:rsid w:val="00C7049D"/>
    <w:rsid w:val="00C717FA"/>
    <w:rsid w:val="00C723B0"/>
    <w:rsid w:val="00C72C2C"/>
    <w:rsid w:val="00C73144"/>
    <w:rsid w:val="00C7371D"/>
    <w:rsid w:val="00C73C5C"/>
    <w:rsid w:val="00C74AE3"/>
    <w:rsid w:val="00C80338"/>
    <w:rsid w:val="00C81C0C"/>
    <w:rsid w:val="00C82F20"/>
    <w:rsid w:val="00C83556"/>
    <w:rsid w:val="00C85B40"/>
    <w:rsid w:val="00C9020F"/>
    <w:rsid w:val="00C9039C"/>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6704"/>
    <w:rsid w:val="00D072D3"/>
    <w:rsid w:val="00D074C0"/>
    <w:rsid w:val="00D075D9"/>
    <w:rsid w:val="00D1117C"/>
    <w:rsid w:val="00D115F8"/>
    <w:rsid w:val="00D11AF4"/>
    <w:rsid w:val="00D11F10"/>
    <w:rsid w:val="00D12127"/>
    <w:rsid w:val="00D131D1"/>
    <w:rsid w:val="00D13B4E"/>
    <w:rsid w:val="00D15480"/>
    <w:rsid w:val="00D16427"/>
    <w:rsid w:val="00D1730D"/>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397C"/>
    <w:rsid w:val="00DF5A47"/>
    <w:rsid w:val="00DF6C7A"/>
    <w:rsid w:val="00DF7006"/>
    <w:rsid w:val="00DF7832"/>
    <w:rsid w:val="00E00A5F"/>
    <w:rsid w:val="00E010BD"/>
    <w:rsid w:val="00E01EF7"/>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549C"/>
    <w:rsid w:val="00E25BF8"/>
    <w:rsid w:val="00E263B6"/>
    <w:rsid w:val="00E3116F"/>
    <w:rsid w:val="00E31BB7"/>
    <w:rsid w:val="00E3272D"/>
    <w:rsid w:val="00E32E30"/>
    <w:rsid w:val="00E350A2"/>
    <w:rsid w:val="00E353E1"/>
    <w:rsid w:val="00E37E86"/>
    <w:rsid w:val="00E40768"/>
    <w:rsid w:val="00E418B6"/>
    <w:rsid w:val="00E441AA"/>
    <w:rsid w:val="00E46136"/>
    <w:rsid w:val="00E46C3D"/>
    <w:rsid w:val="00E47B41"/>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4335"/>
    <w:rsid w:val="00F24ADC"/>
    <w:rsid w:val="00F26D26"/>
    <w:rsid w:val="00F31D6D"/>
    <w:rsid w:val="00F330DC"/>
    <w:rsid w:val="00F33687"/>
    <w:rsid w:val="00F33D40"/>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501"/>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069C074A-3121-495D-9D3A-386AE59B7639}"/>
</file>

<file path=customXml/itemProps3.xml><?xml version="1.0" encoding="utf-8"?>
<ds:datastoreItem xmlns:ds="http://schemas.openxmlformats.org/officeDocument/2006/customXml" ds:itemID="{E90010EE-09CE-4FA2-B764-FEBB787C458A}"/>
</file>

<file path=customXml/itemProps4.xml><?xml version="1.0" encoding="utf-8"?>
<ds:datastoreItem xmlns:ds="http://schemas.openxmlformats.org/officeDocument/2006/customXml" ds:itemID="{8B33DAA1-3AEF-460B-93AD-77951929EBDB}"/>
</file>

<file path=docProps/app.xml><?xml version="1.0" encoding="utf-8"?>
<Properties xmlns="http://schemas.openxmlformats.org/officeDocument/2006/extended-properties" xmlns:vt="http://schemas.openxmlformats.org/officeDocument/2006/docPropsVTypes">
  <Template>Normal</Template>
  <TotalTime>2</TotalTime>
  <Pages>14</Pages>
  <Words>3367</Words>
  <Characters>19194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2024-09-18T00:35:00Z</dcterms:created>
  <dcterms:modified xsi:type="dcterms:W3CDTF">2024-09-18T00:35:00Z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